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5D" w:rsidRDefault="0030295D" w:rsidP="0030295D">
      <w:pPr>
        <w:spacing w:after="0"/>
        <w:rPr>
          <w:sz w:val="24"/>
          <w:szCs w:val="24"/>
        </w:rPr>
      </w:pPr>
      <w:r>
        <w:rPr>
          <w:sz w:val="24"/>
          <w:szCs w:val="24"/>
        </w:rPr>
        <w:t>Gradska knjižnica Biograd na Moru</w:t>
      </w:r>
    </w:p>
    <w:p w:rsidR="0030295D" w:rsidRDefault="0030295D" w:rsidP="0030295D">
      <w:pPr>
        <w:spacing w:after="0"/>
        <w:rPr>
          <w:sz w:val="24"/>
          <w:szCs w:val="24"/>
        </w:rPr>
      </w:pPr>
      <w:r>
        <w:rPr>
          <w:sz w:val="24"/>
          <w:szCs w:val="24"/>
        </w:rPr>
        <w:t>Šetalište kneza Branimira 30</w:t>
      </w:r>
    </w:p>
    <w:p w:rsidR="0030295D" w:rsidRDefault="0030295D" w:rsidP="0030295D">
      <w:pPr>
        <w:spacing w:after="0"/>
        <w:rPr>
          <w:sz w:val="24"/>
          <w:szCs w:val="24"/>
        </w:rPr>
      </w:pPr>
      <w:r>
        <w:rPr>
          <w:sz w:val="24"/>
          <w:szCs w:val="24"/>
        </w:rPr>
        <w:t>23210 Biograd na Moru</w:t>
      </w:r>
    </w:p>
    <w:p w:rsidR="0030295D" w:rsidRDefault="0030295D" w:rsidP="003029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D7502D">
        <w:rPr>
          <w:sz w:val="24"/>
          <w:szCs w:val="24"/>
        </w:rPr>
        <w:t>612-04/25</w:t>
      </w:r>
      <w:r w:rsidR="00083F84">
        <w:rPr>
          <w:sz w:val="24"/>
          <w:szCs w:val="24"/>
        </w:rPr>
        <w:t>-01/2</w:t>
      </w:r>
      <w:r w:rsidR="00D7502D">
        <w:rPr>
          <w:sz w:val="24"/>
          <w:szCs w:val="24"/>
        </w:rPr>
        <w:t>5</w:t>
      </w:r>
    </w:p>
    <w:p w:rsidR="003D4B7D" w:rsidRDefault="0030295D" w:rsidP="0030295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 xml:space="preserve">. broj: </w:t>
      </w:r>
      <w:r w:rsidR="00D7502D">
        <w:rPr>
          <w:sz w:val="24"/>
          <w:szCs w:val="24"/>
        </w:rPr>
        <w:t>2198/16-7-25</w:t>
      </w:r>
      <w:r w:rsidR="0061427D">
        <w:rPr>
          <w:sz w:val="24"/>
          <w:szCs w:val="24"/>
        </w:rPr>
        <w:t>-01</w:t>
      </w:r>
    </w:p>
    <w:p w:rsidR="0030295D" w:rsidRDefault="0030295D" w:rsidP="0030295D">
      <w:pPr>
        <w:spacing w:after="0"/>
        <w:rPr>
          <w:sz w:val="24"/>
          <w:szCs w:val="24"/>
        </w:rPr>
      </w:pPr>
      <w:r>
        <w:rPr>
          <w:sz w:val="24"/>
          <w:szCs w:val="24"/>
        </w:rPr>
        <w:t>Biograd na Moru,</w:t>
      </w:r>
      <w:r w:rsidR="00B60028">
        <w:rPr>
          <w:sz w:val="24"/>
          <w:szCs w:val="24"/>
        </w:rPr>
        <w:t xml:space="preserve"> </w:t>
      </w:r>
      <w:r w:rsidR="00D7502D">
        <w:rPr>
          <w:sz w:val="24"/>
          <w:szCs w:val="24"/>
        </w:rPr>
        <w:t>20. listopada 2025</w:t>
      </w:r>
      <w:r w:rsidR="0061427D">
        <w:rPr>
          <w:sz w:val="24"/>
          <w:szCs w:val="24"/>
        </w:rPr>
        <w:t>.</w:t>
      </w:r>
    </w:p>
    <w:p w:rsidR="0030295D" w:rsidRDefault="0030295D" w:rsidP="0030295D"/>
    <w:p w:rsidR="00922C16" w:rsidRDefault="00922C16" w:rsidP="00922C16"/>
    <w:p w:rsidR="00855737" w:rsidRDefault="00855737" w:rsidP="00922C16"/>
    <w:p w:rsidR="00855737" w:rsidRDefault="00855737" w:rsidP="00922C16"/>
    <w:p w:rsidR="00855737" w:rsidRDefault="00855737" w:rsidP="00922C16"/>
    <w:p w:rsidR="00855737" w:rsidRDefault="00855737" w:rsidP="00922C16"/>
    <w:p w:rsidR="00855737" w:rsidRDefault="00855737" w:rsidP="00922C16"/>
    <w:p w:rsidR="00922C16" w:rsidRDefault="00922C16" w:rsidP="00922C16"/>
    <w:p w:rsidR="0031605C" w:rsidRPr="00083F84" w:rsidRDefault="0061427D" w:rsidP="00083F8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PRIJEDLOG </w:t>
      </w:r>
      <w:r w:rsidR="00083F84">
        <w:rPr>
          <w:b/>
          <w:sz w:val="44"/>
          <w:szCs w:val="44"/>
        </w:rPr>
        <w:t xml:space="preserve">FINANCIJSKOG </w:t>
      </w:r>
      <w:r w:rsidR="00922C16" w:rsidRPr="00620965">
        <w:rPr>
          <w:b/>
          <w:sz w:val="44"/>
          <w:szCs w:val="44"/>
        </w:rPr>
        <w:t>PLAN</w:t>
      </w:r>
      <w:r>
        <w:rPr>
          <w:b/>
          <w:sz w:val="44"/>
          <w:szCs w:val="44"/>
        </w:rPr>
        <w:t>A</w:t>
      </w:r>
      <w:r w:rsidR="00922C16" w:rsidRPr="00620965">
        <w:rPr>
          <w:b/>
          <w:sz w:val="44"/>
          <w:szCs w:val="44"/>
        </w:rPr>
        <w:t xml:space="preserve"> I PROGRAM</w:t>
      </w:r>
      <w:r>
        <w:rPr>
          <w:b/>
          <w:sz w:val="44"/>
          <w:szCs w:val="44"/>
        </w:rPr>
        <w:t>A</w:t>
      </w:r>
      <w:r w:rsidR="00083F84">
        <w:rPr>
          <w:b/>
          <w:sz w:val="44"/>
          <w:szCs w:val="44"/>
        </w:rPr>
        <w:t xml:space="preserve"> </w:t>
      </w:r>
      <w:r w:rsidR="00922C16" w:rsidRPr="00620965">
        <w:rPr>
          <w:b/>
          <w:sz w:val="44"/>
          <w:szCs w:val="44"/>
        </w:rPr>
        <w:t xml:space="preserve">RADA GRADSKE KNJIŽNICE BIOGRAD NA MORU </w:t>
      </w:r>
      <w:r w:rsidR="00D7502D">
        <w:rPr>
          <w:b/>
          <w:sz w:val="44"/>
          <w:szCs w:val="44"/>
        </w:rPr>
        <w:t>ZA 2026</w:t>
      </w:r>
      <w:r w:rsidR="00922C16" w:rsidRPr="00620965">
        <w:rPr>
          <w:b/>
          <w:sz w:val="44"/>
          <w:szCs w:val="44"/>
        </w:rPr>
        <w:t>. GODINU</w:t>
      </w:r>
    </w:p>
    <w:p w:rsidR="002A0872" w:rsidRDefault="002A0872" w:rsidP="00922C16">
      <w:pPr>
        <w:jc w:val="center"/>
        <w:rPr>
          <w:b/>
          <w:sz w:val="24"/>
          <w:szCs w:val="24"/>
        </w:rPr>
      </w:pPr>
    </w:p>
    <w:p w:rsidR="002A0872" w:rsidRDefault="002A0872" w:rsidP="00922C16">
      <w:pPr>
        <w:jc w:val="center"/>
        <w:rPr>
          <w:b/>
          <w:sz w:val="24"/>
          <w:szCs w:val="24"/>
        </w:rPr>
      </w:pPr>
    </w:p>
    <w:p w:rsidR="002A0872" w:rsidRDefault="002A0872" w:rsidP="00922C16">
      <w:pPr>
        <w:jc w:val="center"/>
        <w:rPr>
          <w:b/>
          <w:sz w:val="24"/>
          <w:szCs w:val="24"/>
        </w:rPr>
      </w:pPr>
    </w:p>
    <w:p w:rsidR="002A0872" w:rsidRDefault="002A0872" w:rsidP="00922C16">
      <w:pPr>
        <w:jc w:val="center"/>
        <w:rPr>
          <w:b/>
          <w:sz w:val="24"/>
          <w:szCs w:val="24"/>
        </w:rPr>
      </w:pPr>
    </w:p>
    <w:p w:rsidR="002A0872" w:rsidRDefault="002A0872" w:rsidP="00922C16">
      <w:pPr>
        <w:jc w:val="center"/>
        <w:rPr>
          <w:b/>
          <w:sz w:val="24"/>
          <w:szCs w:val="24"/>
        </w:rPr>
      </w:pPr>
    </w:p>
    <w:p w:rsidR="002A0872" w:rsidRDefault="002A0872" w:rsidP="00922C16">
      <w:pPr>
        <w:jc w:val="center"/>
        <w:rPr>
          <w:b/>
          <w:sz w:val="24"/>
          <w:szCs w:val="24"/>
        </w:rPr>
      </w:pPr>
    </w:p>
    <w:p w:rsidR="002A0872" w:rsidRDefault="002A0872" w:rsidP="00922C16">
      <w:pPr>
        <w:jc w:val="center"/>
        <w:rPr>
          <w:b/>
          <w:sz w:val="24"/>
          <w:szCs w:val="24"/>
        </w:rPr>
      </w:pPr>
    </w:p>
    <w:p w:rsidR="002A0872" w:rsidRDefault="002A0872" w:rsidP="00922C16">
      <w:pPr>
        <w:jc w:val="center"/>
        <w:rPr>
          <w:b/>
          <w:sz w:val="24"/>
          <w:szCs w:val="24"/>
        </w:rPr>
      </w:pPr>
    </w:p>
    <w:p w:rsidR="002A0872" w:rsidRDefault="002A0872" w:rsidP="00922C16">
      <w:pPr>
        <w:jc w:val="center"/>
        <w:rPr>
          <w:b/>
          <w:sz w:val="24"/>
          <w:szCs w:val="24"/>
        </w:rPr>
      </w:pPr>
    </w:p>
    <w:p w:rsidR="002A0872" w:rsidRPr="002A0872" w:rsidRDefault="0061427D" w:rsidP="00922C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Listopad</w:t>
      </w:r>
      <w:r w:rsidR="007B3598">
        <w:rPr>
          <w:b/>
          <w:sz w:val="24"/>
          <w:szCs w:val="24"/>
        </w:rPr>
        <w:t>, 2025</w:t>
      </w:r>
      <w:r w:rsidR="002A0872">
        <w:rPr>
          <w:b/>
          <w:sz w:val="24"/>
          <w:szCs w:val="24"/>
        </w:rPr>
        <w:t>.</w:t>
      </w:r>
    </w:p>
    <w:p w:rsidR="008F23EB" w:rsidRDefault="008F23EB" w:rsidP="008F23EB">
      <w:pPr>
        <w:pStyle w:val="TOCNaslov"/>
        <w:rPr>
          <w:sz w:val="44"/>
          <w:szCs w:val="4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314253938"/>
        <w:docPartObj>
          <w:docPartGallery w:val="Table of Contents"/>
          <w:docPartUnique/>
        </w:docPartObj>
      </w:sdtPr>
      <w:sdtContent>
        <w:p w:rsidR="0031605C" w:rsidRPr="008F23EB" w:rsidRDefault="0031605C" w:rsidP="008F23EB">
          <w:pPr>
            <w:pStyle w:val="TOCNaslov"/>
            <w:rPr>
              <w:sz w:val="44"/>
              <w:szCs w:val="44"/>
            </w:rPr>
          </w:pPr>
          <w:r w:rsidRPr="0031605C">
            <w:rPr>
              <w:rFonts w:asciiTheme="minorHAnsi" w:hAnsiTheme="minorHAnsi" w:cstheme="minorHAnsi"/>
              <w:color w:val="auto"/>
              <w:sz w:val="24"/>
              <w:szCs w:val="24"/>
            </w:rPr>
            <w:t>SADRŽAJ</w:t>
          </w:r>
        </w:p>
        <w:p w:rsidR="0031605C" w:rsidRPr="0031605C" w:rsidRDefault="0031605C" w:rsidP="0031605C"/>
        <w:p w:rsidR="0014167B" w:rsidRDefault="00D62EBE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r w:rsidRPr="0031605C">
            <w:rPr>
              <w:rFonts w:cstheme="minorHAnsi"/>
              <w:sz w:val="24"/>
              <w:szCs w:val="24"/>
            </w:rPr>
            <w:fldChar w:fldCharType="begin"/>
          </w:r>
          <w:r w:rsidR="0031605C" w:rsidRPr="0031605C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31605C">
            <w:rPr>
              <w:rFonts w:cstheme="minorHAnsi"/>
              <w:sz w:val="24"/>
              <w:szCs w:val="24"/>
            </w:rPr>
            <w:fldChar w:fldCharType="separate"/>
          </w:r>
          <w:hyperlink w:anchor="_Toc145501405" w:history="1">
            <w:r w:rsidR="0014167B" w:rsidRPr="000D6A4F">
              <w:rPr>
                <w:rStyle w:val="Hiperveza"/>
                <w:noProof/>
              </w:rPr>
              <w:t>1. UVOD</w:t>
            </w:r>
            <w:r w:rsidR="001416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167B">
              <w:rPr>
                <w:noProof/>
                <w:webHidden/>
              </w:rPr>
              <w:instrText xml:space="preserve"> PAGEREF _Toc145501405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4B6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167B" w:rsidRDefault="00D62EBE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5501406" w:history="1">
            <w:r w:rsidR="0014167B" w:rsidRPr="000D6A4F">
              <w:rPr>
                <w:rStyle w:val="Hiperveza"/>
                <w:noProof/>
              </w:rPr>
              <w:t>1.1. MISIJA</w:t>
            </w:r>
            <w:r w:rsidR="001416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167B">
              <w:rPr>
                <w:noProof/>
                <w:webHidden/>
              </w:rPr>
              <w:instrText xml:space="preserve"> PAGEREF _Toc145501406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4B6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167B" w:rsidRDefault="00D62EBE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5501407" w:history="1">
            <w:r w:rsidR="0014167B" w:rsidRPr="000D6A4F">
              <w:rPr>
                <w:rStyle w:val="Hiperveza"/>
                <w:noProof/>
              </w:rPr>
              <w:t>1.2. VIZIJA</w:t>
            </w:r>
            <w:r w:rsidR="001416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167B">
              <w:rPr>
                <w:noProof/>
                <w:webHidden/>
              </w:rPr>
              <w:instrText xml:space="preserve"> PAGEREF _Toc145501407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4B6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167B" w:rsidRDefault="00D62EBE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5501408" w:history="1">
            <w:r w:rsidR="0014167B" w:rsidRPr="000D6A4F">
              <w:rPr>
                <w:rStyle w:val="Hiperveza"/>
                <w:noProof/>
              </w:rPr>
              <w:t>1.3. CILJEVI</w:t>
            </w:r>
            <w:r w:rsidR="001416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167B">
              <w:rPr>
                <w:noProof/>
                <w:webHidden/>
              </w:rPr>
              <w:instrText xml:space="preserve"> PAGEREF _Toc145501408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4B6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167B" w:rsidRDefault="00D62EBE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5501409" w:history="1">
            <w:r w:rsidR="0014167B" w:rsidRPr="000D6A4F">
              <w:rPr>
                <w:rStyle w:val="Hiperveza"/>
                <w:noProof/>
              </w:rPr>
              <w:t>2. IZGRADNJA KNJIŽNIČNOG FONDA</w:t>
            </w:r>
            <w:r w:rsidR="001416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167B">
              <w:rPr>
                <w:noProof/>
                <w:webHidden/>
              </w:rPr>
              <w:instrText xml:space="preserve"> PAGEREF _Toc145501409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4B6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167B" w:rsidRDefault="00D62EBE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5501410" w:history="1">
            <w:r w:rsidR="0014167B" w:rsidRPr="000D6A4F">
              <w:rPr>
                <w:rStyle w:val="Hiperveza"/>
                <w:noProof/>
              </w:rPr>
              <w:t>2.1. OBRADA GRAĐE</w:t>
            </w:r>
            <w:r w:rsidR="001416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167B">
              <w:rPr>
                <w:noProof/>
                <w:webHidden/>
              </w:rPr>
              <w:instrText xml:space="preserve"> PAGEREF _Toc145501410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4B6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167B" w:rsidRDefault="00D62EBE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5501411" w:history="1">
            <w:r w:rsidR="0014167B" w:rsidRPr="000D6A4F">
              <w:rPr>
                <w:rStyle w:val="Hiperveza"/>
                <w:noProof/>
              </w:rPr>
              <w:t>3. PROSTOR</w:t>
            </w:r>
            <w:r w:rsidR="001416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167B">
              <w:rPr>
                <w:noProof/>
                <w:webHidden/>
              </w:rPr>
              <w:instrText xml:space="preserve"> PAGEREF _Toc145501411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4B6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167B" w:rsidRDefault="00D62EBE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5501412" w:history="1">
            <w:r w:rsidR="0014167B" w:rsidRPr="000D6A4F">
              <w:rPr>
                <w:rStyle w:val="Hiperveza"/>
                <w:noProof/>
              </w:rPr>
              <w:t>4. OPREMA</w:t>
            </w:r>
            <w:r w:rsidR="001416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167B">
              <w:rPr>
                <w:noProof/>
                <w:webHidden/>
              </w:rPr>
              <w:instrText xml:space="preserve"> PAGEREF _Toc145501412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4B6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167B" w:rsidRDefault="00D62EBE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5501413" w:history="1">
            <w:r w:rsidR="0014167B" w:rsidRPr="000D6A4F">
              <w:rPr>
                <w:rStyle w:val="Hiperveza"/>
                <w:noProof/>
              </w:rPr>
              <w:t>4.1. ODRŽAVANJE TEHNIČKE OPREME</w:t>
            </w:r>
            <w:r w:rsidR="001416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167B">
              <w:rPr>
                <w:noProof/>
                <w:webHidden/>
              </w:rPr>
              <w:instrText xml:space="preserve"> PAGEREF _Toc145501413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4B6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167B" w:rsidRDefault="00D62EBE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5501414" w:history="1">
            <w:r w:rsidR="0014167B" w:rsidRPr="000D6A4F">
              <w:rPr>
                <w:rStyle w:val="Hiperveza"/>
                <w:noProof/>
              </w:rPr>
              <w:t>4.2. RAČUNALNE USLUGE</w:t>
            </w:r>
            <w:r w:rsidR="001416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167B">
              <w:rPr>
                <w:noProof/>
                <w:webHidden/>
              </w:rPr>
              <w:instrText xml:space="preserve"> PAGEREF _Toc145501414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4B6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167B" w:rsidRDefault="00D62EBE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5501415" w:history="1">
            <w:r w:rsidR="0014167B" w:rsidRPr="000D6A4F">
              <w:rPr>
                <w:rStyle w:val="Hiperveza"/>
                <w:noProof/>
              </w:rPr>
              <w:t>5. DJELATNICI</w:t>
            </w:r>
            <w:r w:rsidR="001416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167B">
              <w:rPr>
                <w:noProof/>
                <w:webHidden/>
              </w:rPr>
              <w:instrText xml:space="preserve"> PAGEREF _Toc145501415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4B6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167B" w:rsidRDefault="00D62EBE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5501416" w:history="1">
            <w:r w:rsidR="0014167B" w:rsidRPr="000D6A4F">
              <w:rPr>
                <w:rStyle w:val="Hiperveza"/>
                <w:noProof/>
              </w:rPr>
              <w:t>5.1. EDUKACIJA DJELATNIKA</w:t>
            </w:r>
            <w:r w:rsidR="001416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167B">
              <w:rPr>
                <w:noProof/>
                <w:webHidden/>
              </w:rPr>
              <w:instrText xml:space="preserve"> PAGEREF _Toc145501416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4B6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167B" w:rsidRDefault="00D62EBE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5501417" w:history="1">
            <w:r w:rsidR="0014167B" w:rsidRPr="000D6A4F">
              <w:rPr>
                <w:rStyle w:val="Hiperveza"/>
                <w:noProof/>
              </w:rPr>
              <w:t>6. JAVNA KULTURNO - OBRAZOVNA DJELATNOST</w:t>
            </w:r>
            <w:r w:rsidR="001416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167B">
              <w:rPr>
                <w:noProof/>
                <w:webHidden/>
              </w:rPr>
              <w:instrText xml:space="preserve"> PAGEREF _Toc145501417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4B6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167B" w:rsidRDefault="00D62EBE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45501418" w:history="1">
            <w:r w:rsidR="0014167B" w:rsidRPr="000D6A4F">
              <w:rPr>
                <w:rStyle w:val="Hiperveza"/>
                <w:noProof/>
              </w:rPr>
              <w:t>7. ZAKLJUČAK</w:t>
            </w:r>
            <w:r w:rsidR="0014167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167B">
              <w:rPr>
                <w:noProof/>
                <w:webHidden/>
              </w:rPr>
              <w:instrText xml:space="preserve"> PAGEREF _Toc145501418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4B6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605C" w:rsidRDefault="00D62EBE">
          <w:r w:rsidRPr="0031605C">
            <w:rPr>
              <w:rFonts w:cstheme="minorHAnsi"/>
              <w:sz w:val="24"/>
              <w:szCs w:val="24"/>
            </w:rPr>
            <w:fldChar w:fldCharType="end"/>
          </w:r>
        </w:p>
      </w:sdtContent>
    </w:sdt>
    <w:p w:rsidR="00922C16" w:rsidRPr="00620965" w:rsidRDefault="00922C16" w:rsidP="00922C16">
      <w:pPr>
        <w:jc w:val="center"/>
        <w:rPr>
          <w:b/>
          <w:sz w:val="44"/>
          <w:szCs w:val="44"/>
        </w:rPr>
      </w:pPr>
    </w:p>
    <w:p w:rsidR="00922C16" w:rsidRDefault="00922C16" w:rsidP="00922C16">
      <w:pPr>
        <w:spacing w:line="360" w:lineRule="auto"/>
        <w:ind w:left="357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922C16" w:rsidRPr="0031605C" w:rsidRDefault="00922C16" w:rsidP="0031605C">
      <w:pPr>
        <w:pStyle w:val="Naslov1"/>
      </w:pPr>
      <w:bookmarkStart w:id="0" w:name="_Toc31277523"/>
      <w:bookmarkStart w:id="1" w:name="_Toc145501405"/>
      <w:r w:rsidRPr="0031605C">
        <w:lastRenderedPageBreak/>
        <w:t>1. UVOD</w:t>
      </w:r>
      <w:bookmarkEnd w:id="0"/>
      <w:bookmarkEnd w:id="1"/>
    </w:p>
    <w:p w:rsidR="00922C16" w:rsidRDefault="00922C16" w:rsidP="00922C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Knjižnica kao središte kulturnog života zajednice i područja na kojem djeluje ima važne zadatke i zadaće pri promicanju čitanja, poticanju </w:t>
      </w:r>
      <w:proofErr w:type="spellStart"/>
      <w:r>
        <w:rPr>
          <w:sz w:val="24"/>
          <w:szCs w:val="24"/>
        </w:rPr>
        <w:t>cjeloživotnog</w:t>
      </w:r>
      <w:proofErr w:type="spellEnd"/>
      <w:r>
        <w:rPr>
          <w:sz w:val="24"/>
          <w:szCs w:val="24"/>
        </w:rPr>
        <w:t xml:space="preserve"> obrazovanja, razvoju informacijske i informatičke pismenosti te razvoju kulturološke scene cijeloga grada. Narodna knjižnica ima odgovornost da sakuplja i omogućava neposredan pristup lokalnim informacijama, znanju i djelima mašte i na taj način daje važan doprinos u svakodnevnom životu ljudi, u njihovom društvenom i ekonomskom razvoju i uključivanju u obavještavanja ljudi u zajednici.</w:t>
      </w:r>
      <w:r>
        <w:rPr>
          <w:rStyle w:val="Referencafusnote"/>
          <w:sz w:val="24"/>
          <w:szCs w:val="24"/>
        </w:rPr>
        <w:footnoteReference w:id="1"/>
      </w:r>
      <w:r>
        <w:rPr>
          <w:sz w:val="24"/>
          <w:szCs w:val="24"/>
        </w:rPr>
        <w:t xml:space="preserve"> Gradska knjižnica Biograd na Moru (u nastavku: Knjižnica) svojim radom i djelovanjem pokušava zadovoljiti potrebe svih žitelja kojima stoji na usluzi, bilo da su korisnici Knjižnice ili ne. </w:t>
      </w:r>
      <w:r w:rsidR="00B44774">
        <w:rPr>
          <w:sz w:val="24"/>
          <w:szCs w:val="24"/>
        </w:rPr>
        <w:t>Knjižnica</w:t>
      </w:r>
      <w:r>
        <w:rPr>
          <w:sz w:val="24"/>
          <w:szCs w:val="24"/>
        </w:rPr>
        <w:t xml:space="preserve"> nudi usluge kojima </w:t>
      </w:r>
      <w:r w:rsidR="00B44774">
        <w:rPr>
          <w:sz w:val="24"/>
          <w:szCs w:val="24"/>
        </w:rPr>
        <w:t xml:space="preserve">se mogu služiti svi stanovnici </w:t>
      </w:r>
      <w:r>
        <w:rPr>
          <w:sz w:val="24"/>
          <w:szCs w:val="24"/>
        </w:rPr>
        <w:t xml:space="preserve"> svakodnevno se trudeći pronaći svoje mjesto i prepoznatljivost kod svih. U zadnjih nekoliko godina vidljiv je napredak u prepoznavanju zadaće i funkcije Knjižnice, što djelatnike potiče na još veću aktivnost i angažiranost. Svojim programima, uslugama i građom koju nudi, Knjižnica iz godine u godinu napreduje i postiže zadane ciljeve. Upravo je to razlog prepoznatljivosti i specificiranja Knjižnice kao ustanove nužne za sve stanovnike.</w:t>
      </w:r>
    </w:p>
    <w:p w:rsidR="002A0872" w:rsidRDefault="002A0872" w:rsidP="00714F8F">
      <w:pPr>
        <w:pStyle w:val="Naslov2"/>
      </w:pPr>
      <w:r>
        <w:tab/>
      </w:r>
      <w:bookmarkStart w:id="2" w:name="_Toc145501406"/>
      <w:r>
        <w:t>1.1. MISIJA</w:t>
      </w:r>
      <w:bookmarkEnd w:id="2"/>
    </w:p>
    <w:p w:rsidR="002A0872" w:rsidRDefault="002A0872" w:rsidP="00922C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M</w:t>
      </w:r>
      <w:r w:rsidRPr="002A0872">
        <w:rPr>
          <w:sz w:val="24"/>
          <w:szCs w:val="24"/>
        </w:rPr>
        <w:t>isija</w:t>
      </w:r>
      <w:r>
        <w:rPr>
          <w:sz w:val="24"/>
          <w:szCs w:val="24"/>
        </w:rPr>
        <w:t xml:space="preserve"> Gradske knjižnice Biograd na Moru je</w:t>
      </w:r>
      <w:r w:rsidRPr="002A0872">
        <w:rPr>
          <w:sz w:val="24"/>
          <w:szCs w:val="24"/>
        </w:rPr>
        <w:t xml:space="preserve"> biti kulturni promotor u sredini osiguravanjem kvalitetnih i različitih događanja za sve skupine posjetitelja, pružanje kvalitetnih usluga svim stanovnicima, razvijanje svijesti o važnosti knjižnice i njezine potrebe za kulturni razvitak, te pomicanje granica i razbijanje predrasude o knjižnici kao mjestu koje služi isključivo za posudbu knjiga. </w:t>
      </w:r>
      <w:r>
        <w:rPr>
          <w:sz w:val="24"/>
          <w:szCs w:val="24"/>
        </w:rPr>
        <w:t>Svoju misiju Knjižnica</w:t>
      </w:r>
      <w:r w:rsidRPr="002A0872">
        <w:rPr>
          <w:sz w:val="24"/>
          <w:szCs w:val="24"/>
        </w:rPr>
        <w:t xml:space="preserve"> temelji na približavanju informacija, znanja i kulture građanima Biograda na Moru i okolice te njihovim gostima, odgovaranju na potrebe i zahtjeve korisnika stručno utemeljenim uslugama kojima se potiče čitanje, pridonosi nepristranoj obaviještenosti građana, obrazovanju i bogaćenju kulturnoga života svakog pojedinca u zajednici.</w:t>
      </w:r>
    </w:p>
    <w:p w:rsidR="002A0872" w:rsidRDefault="002A0872" w:rsidP="00714F8F">
      <w:pPr>
        <w:pStyle w:val="Naslov2"/>
      </w:pPr>
      <w:r>
        <w:tab/>
      </w:r>
      <w:bookmarkStart w:id="3" w:name="_Toc145501407"/>
      <w:r>
        <w:t>1.2. VIZIJA</w:t>
      </w:r>
      <w:bookmarkEnd w:id="3"/>
    </w:p>
    <w:p w:rsidR="002A0872" w:rsidRDefault="002A0872" w:rsidP="00922C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A0872">
        <w:rPr>
          <w:sz w:val="24"/>
          <w:szCs w:val="24"/>
        </w:rPr>
        <w:t>Gradska knjižnica Biograd na Moru je kulturno, obrazovno, inf</w:t>
      </w:r>
      <w:r>
        <w:rPr>
          <w:sz w:val="24"/>
          <w:szCs w:val="24"/>
        </w:rPr>
        <w:t xml:space="preserve">ormacijsko i društveno središte </w:t>
      </w:r>
      <w:r w:rsidRPr="002A0872">
        <w:rPr>
          <w:sz w:val="24"/>
          <w:szCs w:val="24"/>
        </w:rPr>
        <w:t xml:space="preserve">grada čija je glavna djelatnost pružanje usluga i osiguravanje građe na različitim medijima svim stanovnicima kako bi se zadovoljile formalne i neformalne obrazovne i </w:t>
      </w:r>
      <w:r w:rsidRPr="002A0872">
        <w:rPr>
          <w:sz w:val="24"/>
          <w:szCs w:val="24"/>
        </w:rPr>
        <w:lastRenderedPageBreak/>
        <w:t xml:space="preserve">informacijske potrebe, ali i potrebe pojedinaca za osobnim razvojem i </w:t>
      </w:r>
      <w:proofErr w:type="spellStart"/>
      <w:r w:rsidRPr="002A0872">
        <w:rPr>
          <w:sz w:val="24"/>
          <w:szCs w:val="24"/>
        </w:rPr>
        <w:t>cjeloživotnim</w:t>
      </w:r>
      <w:proofErr w:type="spellEnd"/>
      <w:r w:rsidRPr="002A0872">
        <w:rPr>
          <w:sz w:val="24"/>
          <w:szCs w:val="24"/>
        </w:rPr>
        <w:t xml:space="preserve"> učenjem, uključujući razonodu i potrebe vezane uz slobodno vrijeme. </w:t>
      </w:r>
      <w:r>
        <w:rPr>
          <w:sz w:val="24"/>
          <w:szCs w:val="24"/>
        </w:rPr>
        <w:t>V</w:t>
      </w:r>
      <w:r w:rsidRPr="002A0872">
        <w:rPr>
          <w:sz w:val="24"/>
          <w:szCs w:val="24"/>
        </w:rPr>
        <w:t>izija</w:t>
      </w:r>
      <w:r>
        <w:rPr>
          <w:sz w:val="24"/>
          <w:szCs w:val="24"/>
        </w:rPr>
        <w:t xml:space="preserve"> Knjižnice je</w:t>
      </w:r>
      <w:r w:rsidRPr="002A0872">
        <w:rPr>
          <w:sz w:val="24"/>
          <w:szCs w:val="24"/>
        </w:rPr>
        <w:t xml:space="preserve"> biti mjesto susreta, druženja, kulturnih manifestacija, učenja i razmjene iskustava, biti središnje i glavno mjesto na kulturnoj mapi Grada te stvoriti prepoznatljivost usluga i ustanove kao neizostavnog faktora u svakodnevnom životu.</w:t>
      </w:r>
    </w:p>
    <w:p w:rsidR="002A0872" w:rsidRDefault="002A0872" w:rsidP="00714F8F">
      <w:pPr>
        <w:pStyle w:val="Naslov2"/>
      </w:pPr>
      <w:r>
        <w:tab/>
      </w:r>
      <w:bookmarkStart w:id="4" w:name="_Toc145501408"/>
      <w:r>
        <w:t>1.3. CILJEVI</w:t>
      </w:r>
      <w:bookmarkEnd w:id="4"/>
    </w:p>
    <w:p w:rsidR="002A0872" w:rsidRDefault="002A0872" w:rsidP="00922C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Svojim radom i djelovanje Knjižnica ima za glavne ciljeve:</w:t>
      </w:r>
    </w:p>
    <w:p w:rsidR="002A0872" w:rsidRDefault="002A0872" w:rsidP="008F23EB">
      <w:pPr>
        <w:jc w:val="both"/>
        <w:rPr>
          <w:sz w:val="24"/>
          <w:szCs w:val="24"/>
        </w:rPr>
      </w:pPr>
      <w:r>
        <w:rPr>
          <w:sz w:val="24"/>
          <w:szCs w:val="24"/>
        </w:rPr>
        <w:t>- poticanje čitanja i razvoj čitalačkih kompetencija,</w:t>
      </w:r>
    </w:p>
    <w:p w:rsidR="002A0872" w:rsidRDefault="002A0872" w:rsidP="008F23EB">
      <w:pPr>
        <w:jc w:val="both"/>
        <w:rPr>
          <w:sz w:val="24"/>
          <w:szCs w:val="24"/>
        </w:rPr>
      </w:pPr>
      <w:r>
        <w:rPr>
          <w:sz w:val="24"/>
          <w:szCs w:val="24"/>
        </w:rPr>
        <w:t>- stvaranje i jačanje čitalačkih navika kod djece najranije dobi,</w:t>
      </w:r>
    </w:p>
    <w:p w:rsidR="002A0872" w:rsidRDefault="002A0872" w:rsidP="008F23EB">
      <w:pPr>
        <w:jc w:val="both"/>
        <w:rPr>
          <w:sz w:val="24"/>
          <w:szCs w:val="24"/>
        </w:rPr>
      </w:pPr>
      <w:r>
        <w:rPr>
          <w:sz w:val="24"/>
          <w:szCs w:val="24"/>
        </w:rPr>
        <w:t>- osiguravanje pristupa informacijama i građi,</w:t>
      </w:r>
    </w:p>
    <w:p w:rsidR="002A0872" w:rsidRDefault="002A0872" w:rsidP="008F23EB">
      <w:pPr>
        <w:jc w:val="both"/>
        <w:rPr>
          <w:sz w:val="24"/>
          <w:szCs w:val="24"/>
        </w:rPr>
      </w:pPr>
      <w:r>
        <w:rPr>
          <w:sz w:val="24"/>
          <w:szCs w:val="24"/>
        </w:rPr>
        <w:t>- uvažavanje kulturnih i znanstvenih postignuća,</w:t>
      </w:r>
    </w:p>
    <w:p w:rsidR="002A0872" w:rsidRDefault="002A0872" w:rsidP="008F23EB">
      <w:pPr>
        <w:jc w:val="both"/>
        <w:rPr>
          <w:sz w:val="24"/>
          <w:szCs w:val="24"/>
        </w:rPr>
      </w:pPr>
      <w:r>
        <w:rPr>
          <w:sz w:val="24"/>
          <w:szCs w:val="24"/>
        </w:rPr>
        <w:t>- osiguravanje pristupa kulturnim manifestacijama,</w:t>
      </w:r>
    </w:p>
    <w:p w:rsidR="002A0872" w:rsidRDefault="002A0872" w:rsidP="008F23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A0872">
        <w:rPr>
          <w:sz w:val="24"/>
          <w:szCs w:val="24"/>
        </w:rPr>
        <w:t>poticanje mašte, kreativnosti i inovativnosti kod djece i mladih,</w:t>
      </w:r>
    </w:p>
    <w:p w:rsidR="002A0872" w:rsidRDefault="002A0872" w:rsidP="008F23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A0872">
        <w:rPr>
          <w:sz w:val="24"/>
          <w:szCs w:val="24"/>
        </w:rPr>
        <w:t>njegovanje lokalnih tradicija i promicanje lokalne kulture,</w:t>
      </w:r>
    </w:p>
    <w:p w:rsidR="002A0872" w:rsidRDefault="002A0872" w:rsidP="008F23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A0872">
        <w:rPr>
          <w:sz w:val="24"/>
          <w:szCs w:val="24"/>
        </w:rPr>
        <w:t>razvijanje informacijskih vještina i pismenosti,</w:t>
      </w:r>
    </w:p>
    <w:p w:rsidR="002A0872" w:rsidRDefault="002A0872" w:rsidP="008F23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A0872">
        <w:rPr>
          <w:sz w:val="24"/>
          <w:szCs w:val="24"/>
        </w:rPr>
        <w:t>pružanje pomoći korisnicima u pronalaženju znanja iz različitih informacijskih izvora,</w:t>
      </w:r>
    </w:p>
    <w:p w:rsidR="002A0872" w:rsidRDefault="002A0872" w:rsidP="008F23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A0872">
        <w:rPr>
          <w:sz w:val="24"/>
          <w:szCs w:val="24"/>
        </w:rPr>
        <w:t>podržavanje obrazovanje svih korisnika,</w:t>
      </w:r>
    </w:p>
    <w:p w:rsidR="002A0872" w:rsidRDefault="002A0872" w:rsidP="008F23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A0872">
        <w:rPr>
          <w:sz w:val="24"/>
          <w:szCs w:val="24"/>
        </w:rPr>
        <w:t>izgrađivanje kvalitetnih i raznolikih zbirka,</w:t>
      </w:r>
    </w:p>
    <w:p w:rsidR="002A0872" w:rsidRDefault="002A0872" w:rsidP="008F23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2A0872">
        <w:rPr>
          <w:sz w:val="24"/>
          <w:szCs w:val="24"/>
        </w:rPr>
        <w:t>inkluzija</w:t>
      </w:r>
      <w:proofErr w:type="spellEnd"/>
      <w:r w:rsidRPr="002A0872">
        <w:rPr>
          <w:sz w:val="24"/>
          <w:szCs w:val="24"/>
        </w:rPr>
        <w:t xml:space="preserve"> korisnika u djelatnost</w:t>
      </w:r>
      <w:r>
        <w:rPr>
          <w:sz w:val="24"/>
          <w:szCs w:val="24"/>
        </w:rPr>
        <w:t>,</w:t>
      </w:r>
    </w:p>
    <w:p w:rsidR="002A0872" w:rsidRDefault="00054D7B" w:rsidP="008F23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54D7B">
        <w:rPr>
          <w:sz w:val="24"/>
          <w:szCs w:val="24"/>
        </w:rPr>
        <w:t>Knjižnice (</w:t>
      </w:r>
      <w:proofErr w:type="spellStart"/>
      <w:r w:rsidRPr="00054D7B">
        <w:rPr>
          <w:sz w:val="24"/>
          <w:szCs w:val="24"/>
        </w:rPr>
        <w:t>volonterizam</w:t>
      </w:r>
      <w:proofErr w:type="spellEnd"/>
      <w:r w:rsidRPr="00054D7B">
        <w:rPr>
          <w:sz w:val="24"/>
          <w:szCs w:val="24"/>
        </w:rPr>
        <w:t>, sudjelovanje u organizaciji i provođenju kulturnih manifestacija),</w:t>
      </w:r>
    </w:p>
    <w:p w:rsidR="002A0872" w:rsidRPr="002A0872" w:rsidRDefault="002A0872" w:rsidP="008F23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A0872">
        <w:rPr>
          <w:sz w:val="24"/>
          <w:szCs w:val="24"/>
        </w:rPr>
        <w:t>osiguravanje novih vrsta građe.</w:t>
      </w:r>
    </w:p>
    <w:p w:rsidR="002A0872" w:rsidRDefault="002A0872" w:rsidP="002A0872">
      <w:pPr>
        <w:pStyle w:val="p1"/>
        <w:spacing w:before="0" w:beforeAutospacing="0" w:line="216" w:lineRule="atLeast"/>
        <w:jc w:val="center"/>
        <w:rPr>
          <w:rFonts w:ascii="Arial" w:hAnsi="Arial" w:cs="Arial"/>
          <w:color w:val="FFFFFF"/>
          <w:sz w:val="30"/>
          <w:szCs w:val="30"/>
        </w:rPr>
      </w:pPr>
      <w:r>
        <w:rPr>
          <w:rFonts w:ascii="Arial" w:hAnsi="Arial" w:cs="Arial"/>
          <w:color w:val="FFFFFF"/>
          <w:sz w:val="30"/>
          <w:szCs w:val="30"/>
        </w:rPr>
        <w:t>poticanje čitanja,</w:t>
      </w:r>
    </w:p>
    <w:p w:rsidR="00922C16" w:rsidRPr="00054D7B" w:rsidRDefault="00054D7B" w:rsidP="00054D7B">
      <w:pPr>
        <w:spacing w:line="360" w:lineRule="auto"/>
        <w:ind w:left="357"/>
        <w:jc w:val="both"/>
        <w:rPr>
          <w:rFonts w:ascii="Arial" w:hAnsi="Arial" w:cs="Arial"/>
          <w:color w:val="FFFFFF"/>
          <w:sz w:val="30"/>
          <w:szCs w:val="30"/>
        </w:rPr>
      </w:pPr>
      <w:r>
        <w:rPr>
          <w:rFonts w:ascii="Arial" w:hAnsi="Arial" w:cs="Arial"/>
          <w:color w:val="FFFFFF"/>
          <w:sz w:val="30"/>
          <w:szCs w:val="30"/>
        </w:rPr>
        <w:br w:type="page"/>
      </w:r>
      <w:r w:rsidR="00922C16">
        <w:rPr>
          <w:sz w:val="24"/>
          <w:szCs w:val="24"/>
        </w:rPr>
        <w:lastRenderedPageBreak/>
        <w:t>Glavne zadaće Plana i programa rada Knji</w:t>
      </w:r>
      <w:r w:rsidR="008A0665">
        <w:rPr>
          <w:sz w:val="24"/>
          <w:szCs w:val="24"/>
        </w:rPr>
        <w:t>žnice za 2026</w:t>
      </w:r>
      <w:r w:rsidR="00922C16">
        <w:rPr>
          <w:sz w:val="24"/>
          <w:szCs w:val="24"/>
        </w:rPr>
        <w:t>. godinu bit će sljedeće:</w:t>
      </w:r>
    </w:p>
    <w:p w:rsidR="00E21205" w:rsidRPr="00E21205" w:rsidRDefault="00E21205" w:rsidP="00E21205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prilagodba općih akata Knjižnice novom </w:t>
      </w:r>
      <w:r w:rsidRPr="00E21205">
        <w:rPr>
          <w:i/>
          <w:sz w:val="24"/>
          <w:szCs w:val="24"/>
        </w:rPr>
        <w:t>Standardu za narodne knjižnice</w:t>
      </w:r>
      <w:r w:rsidR="00B44774">
        <w:rPr>
          <w:i/>
          <w:sz w:val="24"/>
          <w:szCs w:val="24"/>
        </w:rPr>
        <w:t xml:space="preserve"> u Republici Hrvatskoj</w:t>
      </w:r>
      <w:r>
        <w:rPr>
          <w:sz w:val="24"/>
          <w:szCs w:val="24"/>
        </w:rPr>
        <w:t xml:space="preserve"> i </w:t>
      </w:r>
      <w:r>
        <w:rPr>
          <w:i/>
          <w:sz w:val="24"/>
          <w:szCs w:val="24"/>
        </w:rPr>
        <w:t>Pravilniku o uvjetima i načinima stjecanja stručnih zvanja u knjižničarskoj struci,</w:t>
      </w:r>
    </w:p>
    <w:p w:rsidR="00922C16" w:rsidRPr="00054D7B" w:rsidRDefault="00922C16" w:rsidP="00054D7B">
      <w:pPr>
        <w:pStyle w:val="Odlomakpopisa"/>
        <w:numPr>
          <w:ilvl w:val="0"/>
          <w:numId w:val="1"/>
        </w:num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izgradnja kvalitetnog fonda knjiga</w:t>
      </w:r>
      <w:r w:rsidR="00B44774">
        <w:rPr>
          <w:sz w:val="24"/>
          <w:szCs w:val="24"/>
        </w:rPr>
        <w:t xml:space="preserve"> temeljenog na </w:t>
      </w:r>
      <w:r w:rsidR="00B44774">
        <w:rPr>
          <w:i/>
          <w:sz w:val="24"/>
          <w:szCs w:val="24"/>
        </w:rPr>
        <w:t>Smjernicama</w:t>
      </w:r>
      <w:r w:rsidR="00054D7B" w:rsidRPr="00054D7B">
        <w:rPr>
          <w:i/>
          <w:sz w:val="24"/>
          <w:szCs w:val="24"/>
        </w:rPr>
        <w:t xml:space="preserve"> </w:t>
      </w:r>
      <w:r w:rsidR="00054D7B" w:rsidRPr="00B44774">
        <w:rPr>
          <w:i/>
          <w:sz w:val="24"/>
          <w:szCs w:val="24"/>
        </w:rPr>
        <w:t>za izgradnju i upravljanje fondom Gradske knjižnice Biograd na Moru,</w:t>
      </w:r>
    </w:p>
    <w:p w:rsidR="00922C16" w:rsidRDefault="00922C16" w:rsidP="00922C16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organizacija manifestacija i različitih događanja,</w:t>
      </w:r>
    </w:p>
    <w:p w:rsidR="00922C16" w:rsidRDefault="00922C16" w:rsidP="00922C16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organizacija dječjih radionica,</w:t>
      </w:r>
    </w:p>
    <w:p w:rsidR="00922C16" w:rsidRDefault="00054D7B" w:rsidP="00922C16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nastavljanje kvalitetne suradnje</w:t>
      </w:r>
      <w:r w:rsidR="00922C16">
        <w:rPr>
          <w:sz w:val="24"/>
          <w:szCs w:val="24"/>
        </w:rPr>
        <w:t xml:space="preserve"> s ostalim ustanovama</w:t>
      </w:r>
      <w:r w:rsidR="00237C68">
        <w:rPr>
          <w:sz w:val="24"/>
          <w:szCs w:val="24"/>
        </w:rPr>
        <w:t xml:space="preserve"> u Gradu i Županiji</w:t>
      </w:r>
      <w:r w:rsidR="00922C16">
        <w:rPr>
          <w:sz w:val="24"/>
          <w:szCs w:val="24"/>
        </w:rPr>
        <w:t>,</w:t>
      </w:r>
    </w:p>
    <w:p w:rsidR="0011617D" w:rsidRDefault="0011617D" w:rsidP="00922C16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aktivacija najugroženije skupine korisnika – mladih,</w:t>
      </w:r>
    </w:p>
    <w:p w:rsidR="00237C68" w:rsidRDefault="00237C68" w:rsidP="00922C16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prenamjena knjižničnog stacionara u </w:t>
      </w:r>
      <w:proofErr w:type="spellStart"/>
      <w:r>
        <w:rPr>
          <w:sz w:val="24"/>
          <w:szCs w:val="24"/>
        </w:rPr>
        <w:t>Tkonu</w:t>
      </w:r>
      <w:proofErr w:type="spellEnd"/>
      <w:r>
        <w:rPr>
          <w:sz w:val="24"/>
          <w:szCs w:val="24"/>
        </w:rPr>
        <w:t xml:space="preserve"> u </w:t>
      </w:r>
      <w:r w:rsidR="00054D7B">
        <w:rPr>
          <w:sz w:val="24"/>
          <w:szCs w:val="24"/>
        </w:rPr>
        <w:t>Ogranak</w:t>
      </w:r>
      <w:r>
        <w:rPr>
          <w:sz w:val="24"/>
          <w:szCs w:val="24"/>
        </w:rPr>
        <w:t xml:space="preserve"> u suradnji s Općinom </w:t>
      </w:r>
      <w:proofErr w:type="spellStart"/>
      <w:r>
        <w:rPr>
          <w:sz w:val="24"/>
          <w:szCs w:val="24"/>
        </w:rPr>
        <w:t>Tkon</w:t>
      </w:r>
      <w:proofErr w:type="spellEnd"/>
      <w:r>
        <w:rPr>
          <w:sz w:val="24"/>
          <w:szCs w:val="24"/>
        </w:rPr>
        <w:t>,</w:t>
      </w:r>
    </w:p>
    <w:p w:rsidR="00922C16" w:rsidRDefault="00054D7B" w:rsidP="00922C16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angažiranje</w:t>
      </w:r>
      <w:r w:rsidR="00922C16">
        <w:rPr>
          <w:sz w:val="24"/>
          <w:szCs w:val="24"/>
        </w:rPr>
        <w:t xml:space="preserve"> na promicanju Knjižnice u </w:t>
      </w:r>
      <w:proofErr w:type="spellStart"/>
      <w:r w:rsidR="00922C16">
        <w:rPr>
          <w:sz w:val="24"/>
          <w:szCs w:val="24"/>
        </w:rPr>
        <w:t>online</w:t>
      </w:r>
      <w:proofErr w:type="spellEnd"/>
      <w:r w:rsidR="00922C16">
        <w:rPr>
          <w:sz w:val="24"/>
          <w:szCs w:val="24"/>
        </w:rPr>
        <w:t xml:space="preserve"> obliku (mobilna aplikacija, društvene mreže i mrežna stranica),</w:t>
      </w:r>
    </w:p>
    <w:p w:rsidR="00237C68" w:rsidRDefault="00922C16" w:rsidP="0031605C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ostvarivanje ciljeva postavljenih apliciranjem na natječaj Ministarstva kulture i medija </w:t>
      </w:r>
      <w:r>
        <w:rPr>
          <w:i/>
          <w:sz w:val="24"/>
          <w:szCs w:val="24"/>
        </w:rPr>
        <w:t xml:space="preserve">Čitanjem do </w:t>
      </w:r>
      <w:proofErr w:type="spellStart"/>
      <w:r>
        <w:rPr>
          <w:i/>
          <w:sz w:val="24"/>
          <w:szCs w:val="24"/>
        </w:rPr>
        <w:t>uključivog</w:t>
      </w:r>
      <w:proofErr w:type="spellEnd"/>
      <w:r>
        <w:rPr>
          <w:i/>
          <w:sz w:val="24"/>
          <w:szCs w:val="24"/>
        </w:rPr>
        <w:t xml:space="preserve"> društva.</w:t>
      </w:r>
      <w:bookmarkStart w:id="5" w:name="_Toc31277524"/>
    </w:p>
    <w:p w:rsidR="00922C16" w:rsidRPr="00237C68" w:rsidRDefault="00922C16" w:rsidP="0011617D">
      <w:pPr>
        <w:pStyle w:val="Naslov1"/>
      </w:pPr>
      <w:bookmarkStart w:id="6" w:name="_Toc145501409"/>
      <w:r w:rsidRPr="00237C68">
        <w:t>2. IZGRADNJA KNJIŽNIČNOG FONDA</w:t>
      </w:r>
      <w:bookmarkEnd w:id="5"/>
      <w:bookmarkEnd w:id="6"/>
    </w:p>
    <w:p w:rsidR="00054D7B" w:rsidRDefault="00922C16" w:rsidP="00922C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54D7B">
        <w:rPr>
          <w:sz w:val="24"/>
          <w:szCs w:val="24"/>
        </w:rPr>
        <w:t>Izgradnja knjižničnog fonda</w:t>
      </w:r>
      <w:r w:rsidR="00054D7B" w:rsidRPr="00054D7B">
        <w:rPr>
          <w:sz w:val="24"/>
          <w:szCs w:val="24"/>
        </w:rPr>
        <w:t xml:space="preserve"> provodi se kontinuirano, kroz cijelu god</w:t>
      </w:r>
      <w:r w:rsidR="00054D7B">
        <w:rPr>
          <w:sz w:val="24"/>
          <w:szCs w:val="24"/>
        </w:rPr>
        <w:t xml:space="preserve">inu sukladno javno objavljenim </w:t>
      </w:r>
      <w:r w:rsidR="00054D7B" w:rsidRPr="00054D7B">
        <w:rPr>
          <w:i/>
          <w:sz w:val="24"/>
          <w:szCs w:val="24"/>
        </w:rPr>
        <w:t xml:space="preserve">Smjernicama za izgradnju i upravljanje fondom Gradske knjižnice Biograd na Moru </w:t>
      </w:r>
      <w:r w:rsidR="00054D7B" w:rsidRPr="00054D7B">
        <w:rPr>
          <w:sz w:val="24"/>
          <w:szCs w:val="24"/>
        </w:rPr>
        <w:t>koje se teme</w:t>
      </w:r>
      <w:r w:rsidR="00054D7B">
        <w:rPr>
          <w:sz w:val="24"/>
          <w:szCs w:val="24"/>
        </w:rPr>
        <w:t xml:space="preserve">lje na </w:t>
      </w:r>
      <w:r w:rsidR="00054D7B" w:rsidRPr="00054D7B">
        <w:rPr>
          <w:i/>
          <w:sz w:val="24"/>
          <w:szCs w:val="24"/>
        </w:rPr>
        <w:t>Standardu za narodne knjižnice u Republici Hrvatskoj</w:t>
      </w:r>
      <w:r w:rsidR="00054D7B" w:rsidRPr="00054D7B">
        <w:rPr>
          <w:sz w:val="24"/>
          <w:szCs w:val="24"/>
        </w:rPr>
        <w:t xml:space="preserve">. Kao jedna od osnovnih zadaća narodne knjižnice, </w:t>
      </w:r>
      <w:r w:rsidR="00054D7B">
        <w:rPr>
          <w:sz w:val="24"/>
          <w:szCs w:val="24"/>
        </w:rPr>
        <w:t>izgradnja fonda</w:t>
      </w:r>
      <w:r w:rsidR="00054D7B" w:rsidRPr="00054D7B">
        <w:rPr>
          <w:sz w:val="24"/>
          <w:szCs w:val="24"/>
        </w:rPr>
        <w:t xml:space="preserve"> ima za zadatak osigurati pristup različitim izvorima građe i aktualnim naslovima osiguravajući nesmetan pristup informacijama, što potiče razvoj čitateljske publike, čitalačkih navika općenito i izravno utječe na proc</w:t>
      </w:r>
      <w:r w:rsidR="00054D7B">
        <w:rPr>
          <w:sz w:val="24"/>
          <w:szCs w:val="24"/>
        </w:rPr>
        <w:t xml:space="preserve">es </w:t>
      </w:r>
      <w:proofErr w:type="spellStart"/>
      <w:r w:rsidR="00054D7B">
        <w:rPr>
          <w:sz w:val="24"/>
          <w:szCs w:val="24"/>
        </w:rPr>
        <w:t>cjeloživotnog</w:t>
      </w:r>
      <w:proofErr w:type="spellEnd"/>
      <w:r w:rsidR="00054D7B">
        <w:rPr>
          <w:sz w:val="24"/>
          <w:szCs w:val="24"/>
        </w:rPr>
        <w:t xml:space="preserve"> obrazovanja. </w:t>
      </w:r>
    </w:p>
    <w:p w:rsidR="00054D7B" w:rsidRPr="00054D7B" w:rsidRDefault="00054D7B" w:rsidP="00054D7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54D7B">
        <w:rPr>
          <w:sz w:val="24"/>
          <w:szCs w:val="24"/>
        </w:rPr>
        <w:t xml:space="preserve">Izgradnja zbirka kontinuirani je proces koji se odvija kroz cijelu kalendarsku godinu (ovisno o aktivnostima nakladnika i potrebama korisnika), a Knjižnica nabavnom politikom teži izgradnji fonda koji će zadovoljiti potrebe svih korisnike, nastoji osigurati zastupljenost građe na različitim medijima i jezicima te osigurati dovoljan broj primjeraka građe. Izgradnja knjižničnog fonda temelji se na stručnim načelima, načelu intelektualne slobode i prava jednakog pristupa informacijama za sve. Nabavna politika Knjižnice temelji se na nacionalnim </w:t>
      </w:r>
      <w:r w:rsidRPr="00054D7B">
        <w:rPr>
          <w:sz w:val="24"/>
          <w:szCs w:val="24"/>
        </w:rPr>
        <w:lastRenderedPageBreak/>
        <w:t xml:space="preserve">i međunarodnim stručnim pravilima i normama i ne podliježe etičkim, moralnim, vjerskim, političkim ili ikakvim drugim uvjerenjima stručnog osoblja. </w:t>
      </w:r>
    </w:p>
    <w:p w:rsidR="00054D7B" w:rsidRPr="00054D7B" w:rsidRDefault="00054D7B" w:rsidP="00054D7B">
      <w:pPr>
        <w:spacing w:line="360" w:lineRule="auto"/>
        <w:jc w:val="both"/>
        <w:rPr>
          <w:sz w:val="24"/>
          <w:szCs w:val="24"/>
        </w:rPr>
      </w:pPr>
      <w:r w:rsidRPr="00054D7B">
        <w:rPr>
          <w:sz w:val="24"/>
          <w:szCs w:val="24"/>
        </w:rPr>
        <w:t>Fond Knjižnice izložen je stalnim promjenama, priljevu nove građe, ali i otpisu zastarjele, nepotrebne i uništene građe. Prema vrstama građe Knjižnica nabavlja: knjige (beletristika, publicistika, dječja literatura, slikovnice), periodičke publikacije (dnevne novine i časopisi), viševrsnu građu (</w:t>
      </w:r>
      <w:proofErr w:type="spellStart"/>
      <w:r w:rsidRPr="00054D7B">
        <w:rPr>
          <w:sz w:val="24"/>
          <w:szCs w:val="24"/>
        </w:rPr>
        <w:t>Micro</w:t>
      </w:r>
      <w:proofErr w:type="spellEnd"/>
      <w:r w:rsidRPr="00054D7B">
        <w:rPr>
          <w:sz w:val="24"/>
          <w:szCs w:val="24"/>
        </w:rPr>
        <w:t xml:space="preserve">:bit, igre - društvene i didaktičke, igračke) i elektroničku građu (igrice za </w:t>
      </w:r>
      <w:proofErr w:type="spellStart"/>
      <w:r w:rsidRPr="00054D7B">
        <w:rPr>
          <w:sz w:val="24"/>
          <w:szCs w:val="24"/>
        </w:rPr>
        <w:t>PlayStation</w:t>
      </w:r>
      <w:proofErr w:type="spellEnd"/>
      <w:r w:rsidRPr="00054D7B">
        <w:rPr>
          <w:sz w:val="24"/>
          <w:szCs w:val="24"/>
        </w:rPr>
        <w:t>). Kriteriji kojima se vodi stručno knjižnično osoblje pri odabiru građe su sljedeći:</w:t>
      </w:r>
    </w:p>
    <w:p w:rsidR="00054D7B" w:rsidRPr="00054D7B" w:rsidRDefault="00054D7B" w:rsidP="00054D7B">
      <w:pPr>
        <w:spacing w:line="240" w:lineRule="auto"/>
        <w:jc w:val="both"/>
        <w:rPr>
          <w:sz w:val="24"/>
          <w:szCs w:val="24"/>
        </w:rPr>
      </w:pPr>
      <w:r w:rsidRPr="00054D7B">
        <w:rPr>
          <w:sz w:val="24"/>
          <w:szCs w:val="24"/>
        </w:rPr>
        <w:t>- kriterij vrednovanja (samog djela, nakladnika, sadržaja i obrade teme),</w:t>
      </w:r>
    </w:p>
    <w:p w:rsidR="00054D7B" w:rsidRPr="00054D7B" w:rsidRDefault="00054D7B" w:rsidP="00054D7B">
      <w:pPr>
        <w:spacing w:line="240" w:lineRule="auto"/>
        <w:jc w:val="both"/>
        <w:rPr>
          <w:sz w:val="24"/>
          <w:szCs w:val="24"/>
        </w:rPr>
      </w:pPr>
      <w:r w:rsidRPr="00054D7B">
        <w:rPr>
          <w:sz w:val="24"/>
          <w:szCs w:val="24"/>
        </w:rPr>
        <w:t>- kriterij potražnje,</w:t>
      </w:r>
    </w:p>
    <w:p w:rsidR="00054D7B" w:rsidRPr="00054D7B" w:rsidRDefault="00054D7B" w:rsidP="00054D7B">
      <w:pPr>
        <w:spacing w:line="240" w:lineRule="auto"/>
        <w:jc w:val="both"/>
        <w:rPr>
          <w:sz w:val="24"/>
          <w:szCs w:val="24"/>
        </w:rPr>
      </w:pPr>
      <w:r w:rsidRPr="00054D7B">
        <w:rPr>
          <w:sz w:val="24"/>
          <w:szCs w:val="24"/>
        </w:rPr>
        <w:t>- količina,</w:t>
      </w:r>
    </w:p>
    <w:p w:rsidR="00054D7B" w:rsidRPr="00054D7B" w:rsidRDefault="00054D7B" w:rsidP="00054D7B">
      <w:pPr>
        <w:spacing w:line="240" w:lineRule="auto"/>
        <w:jc w:val="both"/>
        <w:rPr>
          <w:sz w:val="24"/>
          <w:szCs w:val="24"/>
        </w:rPr>
      </w:pPr>
      <w:r w:rsidRPr="00054D7B">
        <w:rPr>
          <w:sz w:val="24"/>
          <w:szCs w:val="24"/>
        </w:rPr>
        <w:t>- zadovoljstvo korisnika,</w:t>
      </w:r>
    </w:p>
    <w:p w:rsidR="00054D7B" w:rsidRPr="00054D7B" w:rsidRDefault="00054D7B" w:rsidP="00054D7B">
      <w:pPr>
        <w:spacing w:line="240" w:lineRule="auto"/>
        <w:jc w:val="both"/>
        <w:rPr>
          <w:sz w:val="24"/>
          <w:szCs w:val="24"/>
        </w:rPr>
      </w:pPr>
      <w:r w:rsidRPr="00054D7B">
        <w:rPr>
          <w:sz w:val="24"/>
          <w:szCs w:val="24"/>
        </w:rPr>
        <w:t>- tehničke i fizičke specifikacije građe (posebice kada je riječ o dječjem fondu),</w:t>
      </w:r>
    </w:p>
    <w:p w:rsidR="00054D7B" w:rsidRPr="00054D7B" w:rsidRDefault="00054D7B" w:rsidP="00054D7B">
      <w:pPr>
        <w:spacing w:line="240" w:lineRule="auto"/>
        <w:jc w:val="both"/>
        <w:rPr>
          <w:sz w:val="24"/>
          <w:szCs w:val="24"/>
        </w:rPr>
      </w:pPr>
      <w:r w:rsidRPr="00054D7B">
        <w:rPr>
          <w:sz w:val="24"/>
          <w:szCs w:val="24"/>
        </w:rPr>
        <w:t>- kvaliteta prijevoda, lektura i korekture,</w:t>
      </w:r>
    </w:p>
    <w:p w:rsidR="00054D7B" w:rsidRPr="00054D7B" w:rsidRDefault="00054D7B" w:rsidP="00054D7B">
      <w:pPr>
        <w:spacing w:line="240" w:lineRule="auto"/>
        <w:jc w:val="both"/>
        <w:rPr>
          <w:sz w:val="24"/>
          <w:szCs w:val="24"/>
        </w:rPr>
      </w:pPr>
      <w:r w:rsidRPr="00054D7B">
        <w:rPr>
          <w:sz w:val="24"/>
          <w:szCs w:val="24"/>
        </w:rPr>
        <w:t>- novost i važnost teme,</w:t>
      </w:r>
    </w:p>
    <w:p w:rsidR="00054D7B" w:rsidRPr="00054D7B" w:rsidRDefault="00054D7B" w:rsidP="00054D7B">
      <w:pPr>
        <w:spacing w:line="240" w:lineRule="auto"/>
        <w:jc w:val="both"/>
        <w:rPr>
          <w:sz w:val="24"/>
          <w:szCs w:val="24"/>
        </w:rPr>
      </w:pPr>
      <w:r w:rsidRPr="00054D7B">
        <w:rPr>
          <w:sz w:val="24"/>
          <w:szCs w:val="24"/>
        </w:rPr>
        <w:t>- cijena građe i kompletna financijska konstrukcija.</w:t>
      </w:r>
    </w:p>
    <w:p w:rsidR="00054D7B" w:rsidRDefault="00054D7B" w:rsidP="00054D7B">
      <w:pPr>
        <w:spacing w:line="360" w:lineRule="auto"/>
        <w:jc w:val="both"/>
        <w:rPr>
          <w:sz w:val="24"/>
          <w:szCs w:val="24"/>
        </w:rPr>
      </w:pPr>
    </w:p>
    <w:p w:rsidR="005354DE" w:rsidRDefault="00054D7B" w:rsidP="00054D7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54D7B">
        <w:rPr>
          <w:sz w:val="24"/>
          <w:szCs w:val="24"/>
        </w:rPr>
        <w:t xml:space="preserve">Nabavu građe provodi ravnateljica u suradnji sa svim djelatnicima koji u svome radu i izravnom kontaktu s korisnicima dobivaju informacije o njihovim potrebama i zahtjevima. Cilj nabavne politike jest formiranje raznovrsnog, korisnog i kvalitetnog fonda koji će svojim sadržajem biti na korist svima stanovnicima Grada te svojom aktualnošću privući nove korisnike i posjetitelje, te obogaćivanje kulturne ponude u Gradu.  </w:t>
      </w:r>
    </w:p>
    <w:p w:rsidR="005354DE" w:rsidRDefault="005354DE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2C16" w:rsidRDefault="005354DE" w:rsidP="00922C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922C16">
        <w:rPr>
          <w:sz w:val="24"/>
          <w:szCs w:val="24"/>
        </w:rPr>
        <w:t xml:space="preserve">Plan nabave građe temelji se na prošlogodišnjim brojkama i iznosima, pa </w:t>
      </w:r>
      <w:r>
        <w:rPr>
          <w:sz w:val="24"/>
          <w:szCs w:val="24"/>
        </w:rPr>
        <w:t>se u tome okviru predviđa nabava</w:t>
      </w:r>
      <w:r w:rsidR="00922C16">
        <w:rPr>
          <w:sz w:val="24"/>
          <w:szCs w:val="24"/>
        </w:rPr>
        <w:t>:</w:t>
      </w:r>
    </w:p>
    <w:p w:rsidR="00324634" w:rsidRDefault="00324634" w:rsidP="00922C16">
      <w:pPr>
        <w:spacing w:line="360" w:lineRule="auto"/>
        <w:jc w:val="both"/>
        <w:rPr>
          <w:sz w:val="24"/>
          <w:szCs w:val="24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/>
      </w:tblPr>
      <w:tblGrid>
        <w:gridCol w:w="3510"/>
        <w:gridCol w:w="2268"/>
        <w:gridCol w:w="2977"/>
      </w:tblGrid>
      <w:tr w:rsidR="00922C16" w:rsidTr="005354DE">
        <w:tc>
          <w:tcPr>
            <w:tcW w:w="3510" w:type="dxa"/>
          </w:tcPr>
          <w:p w:rsidR="00922C16" w:rsidRPr="001C3EB7" w:rsidRDefault="00922C16" w:rsidP="0031605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Vrsta građe</w:t>
            </w:r>
          </w:p>
        </w:tc>
        <w:tc>
          <w:tcPr>
            <w:tcW w:w="2268" w:type="dxa"/>
          </w:tcPr>
          <w:p w:rsidR="00922C16" w:rsidRPr="001C3EB7" w:rsidRDefault="00922C16" w:rsidP="0031605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jedinica građe</w:t>
            </w:r>
          </w:p>
        </w:tc>
        <w:tc>
          <w:tcPr>
            <w:tcW w:w="2977" w:type="dxa"/>
          </w:tcPr>
          <w:p w:rsidR="00922C16" w:rsidRPr="001C3EB7" w:rsidRDefault="00922C16" w:rsidP="0031605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Iznos</w:t>
            </w:r>
          </w:p>
        </w:tc>
      </w:tr>
      <w:tr w:rsidR="00922C16" w:rsidTr="005354DE">
        <w:tc>
          <w:tcPr>
            <w:tcW w:w="3510" w:type="dxa"/>
          </w:tcPr>
          <w:p w:rsidR="00922C16" w:rsidRDefault="00922C16" w:rsidP="003160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Beletristika</w:t>
            </w:r>
          </w:p>
        </w:tc>
        <w:tc>
          <w:tcPr>
            <w:tcW w:w="2268" w:type="dxa"/>
          </w:tcPr>
          <w:p w:rsidR="00922C16" w:rsidRDefault="00922C16" w:rsidP="003160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~</w:t>
            </w:r>
            <w:r w:rsidR="005354DE">
              <w:rPr>
                <w:sz w:val="24"/>
                <w:szCs w:val="24"/>
              </w:rPr>
              <w:t xml:space="preserve"> 11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922C16" w:rsidRDefault="00E60A91" w:rsidP="007A6A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</w:t>
            </w:r>
            <w:r w:rsidR="00324634">
              <w:rPr>
                <w:sz w:val="24"/>
                <w:szCs w:val="24"/>
              </w:rPr>
              <w:t xml:space="preserve">00,00 </w:t>
            </w:r>
            <w:r w:rsidR="005354DE">
              <w:rPr>
                <w:sz w:val="24"/>
                <w:szCs w:val="24"/>
              </w:rPr>
              <w:t>€</w:t>
            </w:r>
          </w:p>
        </w:tc>
      </w:tr>
      <w:tr w:rsidR="00922C16" w:rsidTr="005354DE">
        <w:tc>
          <w:tcPr>
            <w:tcW w:w="3510" w:type="dxa"/>
          </w:tcPr>
          <w:p w:rsidR="00922C16" w:rsidRDefault="00922C16" w:rsidP="003160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Popularno–znanstvena literatura</w:t>
            </w:r>
          </w:p>
        </w:tc>
        <w:tc>
          <w:tcPr>
            <w:tcW w:w="2268" w:type="dxa"/>
          </w:tcPr>
          <w:p w:rsidR="00922C16" w:rsidRDefault="005354DE" w:rsidP="003160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~</w:t>
            </w:r>
            <w:r w:rsidR="007A6AB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922C16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922C16" w:rsidRDefault="00E60A91" w:rsidP="0032463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</w:t>
            </w:r>
            <w:r w:rsidR="00324634">
              <w:rPr>
                <w:sz w:val="24"/>
                <w:szCs w:val="24"/>
              </w:rPr>
              <w:t>00,00</w:t>
            </w:r>
            <w:r w:rsidR="007A6AB6">
              <w:rPr>
                <w:sz w:val="24"/>
                <w:szCs w:val="24"/>
              </w:rPr>
              <w:t xml:space="preserve"> </w:t>
            </w:r>
            <w:r w:rsidR="005354DE">
              <w:rPr>
                <w:sz w:val="24"/>
                <w:szCs w:val="24"/>
              </w:rPr>
              <w:t>€</w:t>
            </w:r>
          </w:p>
        </w:tc>
      </w:tr>
      <w:tr w:rsidR="00922C16" w:rsidTr="005354DE">
        <w:tc>
          <w:tcPr>
            <w:tcW w:w="3510" w:type="dxa"/>
          </w:tcPr>
          <w:p w:rsidR="00922C16" w:rsidRDefault="00922C16" w:rsidP="003160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 za djecu i mlade</w:t>
            </w:r>
          </w:p>
        </w:tc>
        <w:tc>
          <w:tcPr>
            <w:tcW w:w="2268" w:type="dxa"/>
          </w:tcPr>
          <w:p w:rsidR="00922C16" w:rsidRDefault="00922C16" w:rsidP="003160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~ 600</w:t>
            </w:r>
          </w:p>
        </w:tc>
        <w:tc>
          <w:tcPr>
            <w:tcW w:w="2977" w:type="dxa"/>
          </w:tcPr>
          <w:p w:rsidR="00922C16" w:rsidRDefault="007A6AB6" w:rsidP="0032463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4634">
              <w:rPr>
                <w:sz w:val="24"/>
                <w:szCs w:val="24"/>
              </w:rPr>
              <w:t xml:space="preserve"> 9.000,00</w:t>
            </w:r>
            <w:r>
              <w:rPr>
                <w:sz w:val="24"/>
                <w:szCs w:val="24"/>
              </w:rPr>
              <w:t xml:space="preserve"> </w:t>
            </w:r>
            <w:r w:rsidR="005354DE">
              <w:rPr>
                <w:sz w:val="24"/>
                <w:szCs w:val="24"/>
              </w:rPr>
              <w:t>€</w:t>
            </w:r>
          </w:p>
        </w:tc>
      </w:tr>
      <w:tr w:rsidR="00922C16" w:rsidTr="005354DE">
        <w:tc>
          <w:tcPr>
            <w:tcW w:w="3510" w:type="dxa"/>
          </w:tcPr>
          <w:p w:rsidR="00922C16" w:rsidRDefault="00922C16" w:rsidP="003160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Referentna zbirka</w:t>
            </w:r>
          </w:p>
        </w:tc>
        <w:tc>
          <w:tcPr>
            <w:tcW w:w="2268" w:type="dxa"/>
          </w:tcPr>
          <w:p w:rsidR="00922C16" w:rsidRDefault="00922C16" w:rsidP="003160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~ 2</w:t>
            </w:r>
            <w:r w:rsidR="005354DE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922C16" w:rsidRDefault="005354DE" w:rsidP="0032463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24634">
              <w:rPr>
                <w:sz w:val="24"/>
                <w:szCs w:val="24"/>
              </w:rPr>
              <w:t xml:space="preserve">  600,00</w:t>
            </w:r>
            <w:r>
              <w:rPr>
                <w:sz w:val="24"/>
                <w:szCs w:val="24"/>
              </w:rPr>
              <w:t xml:space="preserve"> €</w:t>
            </w:r>
          </w:p>
        </w:tc>
      </w:tr>
      <w:tr w:rsidR="00922C16" w:rsidTr="005354DE">
        <w:tc>
          <w:tcPr>
            <w:tcW w:w="3510" w:type="dxa"/>
          </w:tcPr>
          <w:p w:rsidR="00922C16" w:rsidRDefault="005354DE" w:rsidP="003160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Časopisi</w:t>
            </w:r>
          </w:p>
        </w:tc>
        <w:tc>
          <w:tcPr>
            <w:tcW w:w="2268" w:type="dxa"/>
          </w:tcPr>
          <w:p w:rsidR="00922C16" w:rsidRDefault="00922C16" w:rsidP="003160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~ 1</w:t>
            </w:r>
            <w:r w:rsidR="00324634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922C16" w:rsidRDefault="005354DE" w:rsidP="0032463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24634">
              <w:rPr>
                <w:sz w:val="24"/>
                <w:szCs w:val="24"/>
              </w:rPr>
              <w:t xml:space="preserve">  800,00</w:t>
            </w:r>
            <w:r>
              <w:rPr>
                <w:sz w:val="24"/>
                <w:szCs w:val="24"/>
              </w:rPr>
              <w:t xml:space="preserve"> €</w:t>
            </w:r>
          </w:p>
        </w:tc>
      </w:tr>
      <w:tr w:rsidR="005354DE" w:rsidTr="005354DE">
        <w:tc>
          <w:tcPr>
            <w:tcW w:w="3510" w:type="dxa"/>
          </w:tcPr>
          <w:p w:rsidR="005354DE" w:rsidRDefault="005354DE" w:rsidP="003160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Dnevne novine</w:t>
            </w:r>
          </w:p>
        </w:tc>
        <w:tc>
          <w:tcPr>
            <w:tcW w:w="2268" w:type="dxa"/>
          </w:tcPr>
          <w:p w:rsidR="005354DE" w:rsidRDefault="00184C44" w:rsidP="003160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="005354D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354DE" w:rsidRDefault="005354DE" w:rsidP="0032463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2463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324634">
              <w:rPr>
                <w:sz w:val="24"/>
                <w:szCs w:val="24"/>
              </w:rPr>
              <w:t>800,00</w:t>
            </w:r>
            <w:r>
              <w:rPr>
                <w:sz w:val="24"/>
                <w:szCs w:val="24"/>
              </w:rPr>
              <w:t xml:space="preserve"> €</w:t>
            </w:r>
          </w:p>
        </w:tc>
      </w:tr>
      <w:tr w:rsidR="00922C16" w:rsidTr="005354DE">
        <w:tblPrEx>
          <w:tblLook w:val="0000"/>
        </w:tblPrEx>
        <w:trPr>
          <w:trHeight w:val="450"/>
        </w:trPr>
        <w:tc>
          <w:tcPr>
            <w:tcW w:w="3510" w:type="dxa"/>
          </w:tcPr>
          <w:p w:rsidR="00922C16" w:rsidRPr="005354DE" w:rsidRDefault="00922C16" w:rsidP="0031605C">
            <w:pPr>
              <w:spacing w:line="360" w:lineRule="auto"/>
              <w:rPr>
                <w:b/>
                <w:sz w:val="24"/>
                <w:szCs w:val="24"/>
              </w:rPr>
            </w:pPr>
            <w:r w:rsidRPr="005354DE"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2268" w:type="dxa"/>
          </w:tcPr>
          <w:p w:rsidR="00922C16" w:rsidRPr="00A144B5" w:rsidRDefault="00922C16" w:rsidP="0031605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C16" w:rsidRPr="00A144B5" w:rsidRDefault="007B3598" w:rsidP="0031605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45.1</w:t>
            </w:r>
            <w:r w:rsidR="00324634">
              <w:rPr>
                <w:b/>
                <w:sz w:val="24"/>
                <w:szCs w:val="24"/>
              </w:rPr>
              <w:t xml:space="preserve">00,00 </w:t>
            </w:r>
            <w:r w:rsidR="007A6AB6">
              <w:rPr>
                <w:b/>
                <w:sz w:val="24"/>
                <w:szCs w:val="24"/>
              </w:rPr>
              <w:t>€</w:t>
            </w:r>
          </w:p>
        </w:tc>
      </w:tr>
    </w:tbl>
    <w:p w:rsidR="00922C16" w:rsidRDefault="00922C16" w:rsidP="00922C16">
      <w:pPr>
        <w:spacing w:line="360" w:lineRule="auto"/>
        <w:jc w:val="both"/>
        <w:rPr>
          <w:sz w:val="24"/>
          <w:szCs w:val="24"/>
        </w:rPr>
      </w:pPr>
    </w:p>
    <w:p w:rsidR="00922C16" w:rsidRDefault="00922C16" w:rsidP="00054D7B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Izvori sredstava: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/>
      </w:tblPr>
      <w:tblGrid>
        <w:gridCol w:w="4644"/>
        <w:gridCol w:w="3261"/>
      </w:tblGrid>
      <w:tr w:rsidR="00922C16" w:rsidTr="007B3598">
        <w:trPr>
          <w:trHeight w:val="555"/>
        </w:trPr>
        <w:tc>
          <w:tcPr>
            <w:tcW w:w="4644" w:type="dxa"/>
          </w:tcPr>
          <w:p w:rsidR="00E60A91" w:rsidRDefault="00922C16" w:rsidP="007B359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Ministarstvo kulture </w:t>
            </w:r>
            <w:r w:rsidR="00E60A91">
              <w:rPr>
                <w:sz w:val="24"/>
                <w:szCs w:val="24"/>
              </w:rPr>
              <w:t xml:space="preserve">i medija </w:t>
            </w:r>
            <w:r>
              <w:rPr>
                <w:sz w:val="24"/>
                <w:szCs w:val="24"/>
              </w:rPr>
              <w:t>RH</w:t>
            </w:r>
          </w:p>
        </w:tc>
        <w:tc>
          <w:tcPr>
            <w:tcW w:w="3261" w:type="dxa"/>
          </w:tcPr>
          <w:p w:rsidR="00922C16" w:rsidRDefault="005354DE" w:rsidP="0032463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4634">
              <w:rPr>
                <w:sz w:val="24"/>
                <w:szCs w:val="24"/>
              </w:rPr>
              <w:t>13.000,00</w:t>
            </w:r>
            <w:r>
              <w:rPr>
                <w:sz w:val="24"/>
                <w:szCs w:val="24"/>
              </w:rPr>
              <w:t xml:space="preserve"> €</w:t>
            </w:r>
          </w:p>
          <w:p w:rsidR="00E60A91" w:rsidRDefault="00E60A91" w:rsidP="0032463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22C16" w:rsidTr="0031605C">
        <w:tc>
          <w:tcPr>
            <w:tcW w:w="4644" w:type="dxa"/>
          </w:tcPr>
          <w:p w:rsidR="00922C16" w:rsidRDefault="00922C16" w:rsidP="003160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 Biograd na Moru</w:t>
            </w:r>
          </w:p>
        </w:tc>
        <w:tc>
          <w:tcPr>
            <w:tcW w:w="3261" w:type="dxa"/>
          </w:tcPr>
          <w:p w:rsidR="00922C16" w:rsidRDefault="00D7502D" w:rsidP="007A6A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</w:t>
            </w:r>
            <w:r w:rsidR="00324634">
              <w:rPr>
                <w:sz w:val="24"/>
                <w:szCs w:val="24"/>
              </w:rPr>
              <w:t xml:space="preserve">00,00 </w:t>
            </w:r>
            <w:r w:rsidR="005354DE">
              <w:rPr>
                <w:sz w:val="24"/>
                <w:szCs w:val="24"/>
              </w:rPr>
              <w:t>€</w:t>
            </w:r>
          </w:p>
        </w:tc>
      </w:tr>
      <w:tr w:rsidR="00922C16" w:rsidTr="0031605C">
        <w:tc>
          <w:tcPr>
            <w:tcW w:w="4644" w:type="dxa"/>
          </w:tcPr>
          <w:p w:rsidR="00922C16" w:rsidRDefault="00922C16" w:rsidP="003160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Zadarska županija</w:t>
            </w:r>
          </w:p>
        </w:tc>
        <w:tc>
          <w:tcPr>
            <w:tcW w:w="3261" w:type="dxa"/>
          </w:tcPr>
          <w:p w:rsidR="00922C16" w:rsidRDefault="00922C16" w:rsidP="0032566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7502D">
              <w:rPr>
                <w:sz w:val="24"/>
                <w:szCs w:val="24"/>
              </w:rPr>
              <w:t>6</w:t>
            </w:r>
            <w:r w:rsidR="0032566A">
              <w:rPr>
                <w:sz w:val="24"/>
                <w:szCs w:val="24"/>
              </w:rPr>
              <w:t>00,00 €</w:t>
            </w:r>
          </w:p>
        </w:tc>
      </w:tr>
      <w:tr w:rsidR="00922C16" w:rsidTr="0031605C">
        <w:tc>
          <w:tcPr>
            <w:tcW w:w="4644" w:type="dxa"/>
          </w:tcPr>
          <w:p w:rsidR="00922C16" w:rsidRDefault="00922C16" w:rsidP="0031605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  <w:tc>
          <w:tcPr>
            <w:tcW w:w="3261" w:type="dxa"/>
          </w:tcPr>
          <w:p w:rsidR="00922C16" w:rsidRPr="00D813E4" w:rsidRDefault="007B3598" w:rsidP="007A6AB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45.1</w:t>
            </w:r>
            <w:r w:rsidR="00324634">
              <w:rPr>
                <w:b/>
                <w:sz w:val="24"/>
                <w:szCs w:val="24"/>
              </w:rPr>
              <w:t>00,00</w:t>
            </w:r>
            <w:r w:rsidR="007A6AB6">
              <w:rPr>
                <w:b/>
                <w:sz w:val="24"/>
                <w:szCs w:val="24"/>
              </w:rPr>
              <w:t xml:space="preserve"> </w:t>
            </w:r>
            <w:r w:rsidR="005354DE">
              <w:rPr>
                <w:b/>
                <w:sz w:val="24"/>
                <w:szCs w:val="24"/>
              </w:rPr>
              <w:t>€</w:t>
            </w:r>
          </w:p>
        </w:tc>
      </w:tr>
    </w:tbl>
    <w:p w:rsidR="00E60A91" w:rsidRDefault="00E60A91" w:rsidP="00922C16">
      <w:pPr>
        <w:spacing w:line="360" w:lineRule="auto"/>
        <w:jc w:val="both"/>
        <w:rPr>
          <w:sz w:val="24"/>
          <w:szCs w:val="24"/>
        </w:rPr>
      </w:pPr>
    </w:p>
    <w:p w:rsidR="00E60A91" w:rsidRPr="00E60A91" w:rsidRDefault="00E60A91" w:rsidP="00E60A91">
      <w:pPr>
        <w:rPr>
          <w:sz w:val="24"/>
          <w:szCs w:val="24"/>
        </w:rPr>
      </w:pPr>
    </w:p>
    <w:p w:rsidR="00E60A91" w:rsidRDefault="00E60A91" w:rsidP="00922C16">
      <w:pPr>
        <w:spacing w:line="360" w:lineRule="auto"/>
        <w:jc w:val="both"/>
        <w:rPr>
          <w:sz w:val="24"/>
          <w:szCs w:val="24"/>
        </w:rPr>
      </w:pPr>
    </w:p>
    <w:p w:rsidR="00922C16" w:rsidRDefault="00922C16" w:rsidP="00922C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922C16" w:rsidRDefault="00922C16" w:rsidP="00922C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Određeni broj jedinica građe Knjižnica će dobiti otkupom Ministarstva kulture i</w:t>
      </w:r>
      <w:r w:rsidR="005354DE">
        <w:rPr>
          <w:sz w:val="24"/>
          <w:szCs w:val="24"/>
        </w:rPr>
        <w:t xml:space="preserve"> medija, te</w:t>
      </w:r>
      <w:r>
        <w:rPr>
          <w:sz w:val="24"/>
          <w:szCs w:val="24"/>
        </w:rPr>
        <w:t xml:space="preserve"> darom korisnika i nakladnika. </w:t>
      </w:r>
      <w:r w:rsidR="00324634">
        <w:rPr>
          <w:sz w:val="24"/>
          <w:szCs w:val="24"/>
        </w:rPr>
        <w:t>Model otkupa knjiga od 2023. je promijenjen, te je Knjižnica dužna aplicirati i na taj natječaj Minis</w:t>
      </w:r>
      <w:r w:rsidR="00D7502D">
        <w:rPr>
          <w:sz w:val="24"/>
          <w:szCs w:val="24"/>
        </w:rPr>
        <w:t>tarstva kulture i medija. U 2026</w:t>
      </w:r>
      <w:r w:rsidR="00324634">
        <w:rPr>
          <w:sz w:val="24"/>
          <w:szCs w:val="24"/>
        </w:rPr>
        <w:t xml:space="preserve">. godini otkupom se planira nabaviti građa u iznosu od </w:t>
      </w:r>
      <w:r w:rsidR="00D7502D">
        <w:rPr>
          <w:b/>
          <w:sz w:val="24"/>
          <w:szCs w:val="24"/>
        </w:rPr>
        <w:t>5</w:t>
      </w:r>
      <w:r w:rsidR="007B3598">
        <w:rPr>
          <w:b/>
          <w:sz w:val="24"/>
          <w:szCs w:val="24"/>
        </w:rPr>
        <w:t>.000,00</w:t>
      </w:r>
      <w:r w:rsidR="00324634" w:rsidRPr="00324634">
        <w:rPr>
          <w:b/>
          <w:sz w:val="24"/>
          <w:szCs w:val="24"/>
        </w:rPr>
        <w:t xml:space="preserve"> €.</w:t>
      </w:r>
      <w:r w:rsidR="00324634">
        <w:rPr>
          <w:sz w:val="24"/>
          <w:szCs w:val="24"/>
        </w:rPr>
        <w:t xml:space="preserve"> </w:t>
      </w:r>
    </w:p>
    <w:p w:rsidR="00922C16" w:rsidRDefault="00922C16" w:rsidP="00922C1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Osim nabave novih knjiga, potrebno je zastarjelu i dotrajalu gra</w:t>
      </w:r>
      <w:r w:rsidR="00237C68">
        <w:rPr>
          <w:sz w:val="24"/>
          <w:szCs w:val="24"/>
        </w:rPr>
        <w:t xml:space="preserve">đu redovito otpisivati, </w:t>
      </w:r>
      <w:r w:rsidR="008A0665">
        <w:rPr>
          <w:sz w:val="24"/>
          <w:szCs w:val="24"/>
        </w:rPr>
        <w:t>te će se kroz 2026</w:t>
      </w:r>
      <w:r w:rsidR="005354DE">
        <w:rPr>
          <w:sz w:val="24"/>
          <w:szCs w:val="24"/>
        </w:rPr>
        <w:t xml:space="preserve">. provoditi redoviti otpis ovisno prema potrebama. </w:t>
      </w:r>
    </w:p>
    <w:p w:rsidR="00922C16" w:rsidRPr="00714F8F" w:rsidRDefault="00922C16" w:rsidP="00714F8F">
      <w:pPr>
        <w:pStyle w:val="Naslov2"/>
      </w:pPr>
      <w:bookmarkStart w:id="7" w:name="_Toc31277525"/>
      <w:bookmarkStart w:id="8" w:name="_Toc145501410"/>
      <w:r w:rsidRPr="00714F8F">
        <w:t>2.1. OBRADA GRAĐE</w:t>
      </w:r>
      <w:bookmarkEnd w:id="7"/>
      <w:bookmarkEnd w:id="8"/>
    </w:p>
    <w:p w:rsidR="00D7333A" w:rsidRDefault="00922C16" w:rsidP="007A6A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Obrada knjižnične građe posao je koji obavljaju svi djelatnici Knjižnice i kroz koji prolaze sve jedinice građe kako bi bile dostupne za daljnje korištenje i posudbu. Cijeli fond Knjižnice formalno je i sadržajno obrađen prema važećim pravilima i standardima, te je </w:t>
      </w:r>
      <w:r>
        <w:rPr>
          <w:sz w:val="24"/>
          <w:szCs w:val="24"/>
        </w:rPr>
        <w:lastRenderedPageBreak/>
        <w:t xml:space="preserve">dostupan u računalnom katalogu na našim mrežnim stranicama. Za obradu građe koristi se knjižnični program </w:t>
      </w:r>
      <w:proofErr w:type="spellStart"/>
      <w:r>
        <w:rPr>
          <w:sz w:val="24"/>
          <w:szCs w:val="24"/>
        </w:rPr>
        <w:t>Crolist</w:t>
      </w:r>
      <w:proofErr w:type="spellEnd"/>
      <w:r>
        <w:rPr>
          <w:sz w:val="24"/>
          <w:szCs w:val="24"/>
        </w:rPr>
        <w:t xml:space="preserve">. U radu se </w:t>
      </w:r>
      <w:r w:rsidR="00AF3E6E">
        <w:rPr>
          <w:sz w:val="24"/>
          <w:szCs w:val="24"/>
        </w:rPr>
        <w:t>djelatnici najviše služe</w:t>
      </w:r>
      <w:r>
        <w:rPr>
          <w:sz w:val="24"/>
          <w:szCs w:val="24"/>
        </w:rPr>
        <w:t xml:space="preserve"> kooperativnom katalogizacijom i preuzimanjem zapisa iz Skupnog kataloga knjižnica Zadarske županije, ali prema potrebi</w:t>
      </w:r>
      <w:r w:rsidR="00AF3E6E">
        <w:rPr>
          <w:sz w:val="24"/>
          <w:szCs w:val="24"/>
        </w:rPr>
        <w:t>, djelatnici sami katalogiziraju</w:t>
      </w:r>
      <w:r>
        <w:rPr>
          <w:sz w:val="24"/>
          <w:szCs w:val="24"/>
        </w:rPr>
        <w:t xml:space="preserve"> pojedine jedinice građe koje nisu dostupne u katalogu. </w:t>
      </w:r>
      <w:r w:rsidR="00237C68">
        <w:rPr>
          <w:sz w:val="24"/>
          <w:szCs w:val="24"/>
        </w:rPr>
        <w:t xml:space="preserve">Formiranjem novih zbirka (konkretno zbirka strane građe) diplomirani knjižničari će, zbog nedostupnosti zapisa, morati sami katalogizirati znatan broj novonabavljenih naslova. </w:t>
      </w:r>
      <w:r>
        <w:rPr>
          <w:sz w:val="24"/>
          <w:szCs w:val="24"/>
        </w:rPr>
        <w:t xml:space="preserve">Proces obrade građe (od inventarizacije, preko katalogizacije i </w:t>
      </w:r>
      <w:proofErr w:type="spellStart"/>
      <w:r>
        <w:rPr>
          <w:sz w:val="24"/>
          <w:szCs w:val="24"/>
        </w:rPr>
        <w:t>barkodiranja</w:t>
      </w:r>
      <w:proofErr w:type="spellEnd"/>
      <w:r>
        <w:rPr>
          <w:sz w:val="24"/>
          <w:szCs w:val="24"/>
        </w:rPr>
        <w:t xml:space="preserve">) važan je zadatak za Knjižnicu i bitna je točnost i preciznost kako </w:t>
      </w:r>
      <w:r w:rsidR="00AF3E6E">
        <w:rPr>
          <w:sz w:val="24"/>
          <w:szCs w:val="24"/>
        </w:rPr>
        <w:t>bi se djelatnicima</w:t>
      </w:r>
      <w:r>
        <w:rPr>
          <w:sz w:val="24"/>
          <w:szCs w:val="24"/>
        </w:rPr>
        <w:t>, al</w:t>
      </w:r>
      <w:r w:rsidR="00AF3E6E">
        <w:rPr>
          <w:sz w:val="24"/>
          <w:szCs w:val="24"/>
        </w:rPr>
        <w:t>i i korisnicima olakšalo</w:t>
      </w:r>
      <w:r>
        <w:rPr>
          <w:sz w:val="24"/>
          <w:szCs w:val="24"/>
        </w:rPr>
        <w:t xml:space="preserve"> snalaženje unutar fonda. </w:t>
      </w:r>
      <w:bookmarkStart w:id="9" w:name="_Toc31277526"/>
    </w:p>
    <w:p w:rsidR="00922C16" w:rsidRPr="00D7333A" w:rsidRDefault="00D7333A" w:rsidP="00714F8F">
      <w:pPr>
        <w:pStyle w:val="Naslov1"/>
      </w:pPr>
      <w:r>
        <w:tab/>
      </w:r>
      <w:bookmarkStart w:id="10" w:name="_Toc145501411"/>
      <w:r w:rsidR="00922C16" w:rsidRPr="007A6AB6">
        <w:t>3. PROSTOR</w:t>
      </w:r>
      <w:bookmarkEnd w:id="9"/>
      <w:bookmarkEnd w:id="10"/>
    </w:p>
    <w:p w:rsidR="00D7333A" w:rsidRDefault="00922C16" w:rsidP="00D7333A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D7502D">
        <w:rPr>
          <w:sz w:val="24"/>
          <w:szCs w:val="24"/>
        </w:rPr>
        <w:t xml:space="preserve">Modularnost prostora zahtijeva unaprjeđenje i preinake, te obnovu, stoga je kroz 2026. godinu za tu namjenu </w:t>
      </w:r>
      <w:r w:rsidR="007A6AB6">
        <w:rPr>
          <w:sz w:val="24"/>
          <w:szCs w:val="24"/>
        </w:rPr>
        <w:t xml:space="preserve">iznos od </w:t>
      </w:r>
      <w:r w:rsidR="008A0665">
        <w:rPr>
          <w:b/>
          <w:sz w:val="24"/>
          <w:szCs w:val="24"/>
        </w:rPr>
        <w:t>2</w:t>
      </w:r>
      <w:r w:rsidR="00324634">
        <w:rPr>
          <w:b/>
          <w:sz w:val="24"/>
          <w:szCs w:val="24"/>
        </w:rPr>
        <w:t>.000,00</w:t>
      </w:r>
      <w:r w:rsidR="00B97D19" w:rsidRPr="00B97D19">
        <w:rPr>
          <w:b/>
          <w:sz w:val="24"/>
          <w:szCs w:val="24"/>
        </w:rPr>
        <w:t xml:space="preserve"> €.</w:t>
      </w:r>
      <w:bookmarkStart w:id="11" w:name="_Toc31277527"/>
    </w:p>
    <w:p w:rsidR="00922C16" w:rsidRPr="00D7333A" w:rsidRDefault="00D7333A" w:rsidP="00714F8F">
      <w:pPr>
        <w:pStyle w:val="Naslov1"/>
      </w:pPr>
      <w:r>
        <w:tab/>
      </w:r>
      <w:bookmarkStart w:id="12" w:name="_Toc145501412"/>
      <w:r w:rsidR="00922C16" w:rsidRPr="00D7333A">
        <w:t>4. OPREMA</w:t>
      </w:r>
      <w:bookmarkEnd w:id="11"/>
      <w:bookmarkEnd w:id="12"/>
      <w:r w:rsidR="00B97D19" w:rsidRPr="00D7333A">
        <w:t xml:space="preserve"> </w:t>
      </w:r>
    </w:p>
    <w:p w:rsidR="00AF3E6E" w:rsidRDefault="00922C16" w:rsidP="00922C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Tehnička oprema u </w:t>
      </w:r>
      <w:r w:rsidR="00212431">
        <w:rPr>
          <w:sz w:val="24"/>
          <w:szCs w:val="24"/>
        </w:rPr>
        <w:t xml:space="preserve">Knjižnici redovito se održava i, prema potrebi, nadopunjava novom. </w:t>
      </w:r>
      <w:r>
        <w:rPr>
          <w:sz w:val="24"/>
          <w:szCs w:val="24"/>
        </w:rPr>
        <w:t xml:space="preserve"> Knjižnica za nabavu teh</w:t>
      </w:r>
      <w:r w:rsidR="00D7333A">
        <w:rPr>
          <w:sz w:val="24"/>
          <w:szCs w:val="24"/>
        </w:rPr>
        <w:t xml:space="preserve">ničke opreme predviđa iznos od </w:t>
      </w:r>
      <w:r w:rsidR="007B3598">
        <w:rPr>
          <w:b/>
          <w:sz w:val="24"/>
          <w:szCs w:val="24"/>
        </w:rPr>
        <w:t>1.3</w:t>
      </w:r>
      <w:r w:rsidR="00324634">
        <w:rPr>
          <w:b/>
          <w:sz w:val="24"/>
          <w:szCs w:val="24"/>
        </w:rPr>
        <w:t>00,00</w:t>
      </w:r>
      <w:r w:rsidR="00D7333A"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  <w:r w:rsidR="00AF3E6E">
        <w:rPr>
          <w:sz w:val="24"/>
          <w:szCs w:val="24"/>
        </w:rPr>
        <w:t xml:space="preserve"> </w:t>
      </w:r>
      <w:r w:rsidR="0011617D">
        <w:rPr>
          <w:sz w:val="24"/>
          <w:szCs w:val="24"/>
        </w:rPr>
        <w:t xml:space="preserve">Knjižnica trenutno raspolaže svom potrebnom tehničkom </w:t>
      </w:r>
      <w:r w:rsidR="00D7502D">
        <w:rPr>
          <w:sz w:val="24"/>
          <w:szCs w:val="24"/>
        </w:rPr>
        <w:t>opremom, eventualno se kroz 2026</w:t>
      </w:r>
      <w:r w:rsidR="0011617D">
        <w:rPr>
          <w:sz w:val="24"/>
          <w:szCs w:val="24"/>
        </w:rPr>
        <w:t>. može očeki</w:t>
      </w:r>
      <w:r w:rsidR="00324634">
        <w:rPr>
          <w:sz w:val="24"/>
          <w:szCs w:val="24"/>
        </w:rPr>
        <w:t>vati pokoji popravak ili servis, ali i nabava novog računala.</w:t>
      </w:r>
    </w:p>
    <w:p w:rsidR="00D7333A" w:rsidRDefault="00D7333A" w:rsidP="00714F8F">
      <w:pPr>
        <w:pStyle w:val="Naslov2"/>
      </w:pPr>
      <w:r>
        <w:tab/>
      </w:r>
      <w:bookmarkStart w:id="13" w:name="_Toc145501413"/>
      <w:r>
        <w:t>4.1. ODRŽAVANJE TEHNIČKE OPREME</w:t>
      </w:r>
      <w:bookmarkEnd w:id="13"/>
    </w:p>
    <w:p w:rsidR="00714F8F" w:rsidRDefault="00D7333A" w:rsidP="00922C1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24F0D" w:rsidRPr="00124F0D">
        <w:rPr>
          <w:sz w:val="24"/>
          <w:szCs w:val="24"/>
        </w:rPr>
        <w:t xml:space="preserve">Održavanje informatičke i ostale tehničke opreme zahtijeva </w:t>
      </w:r>
      <w:r w:rsidR="00124F0D">
        <w:rPr>
          <w:sz w:val="24"/>
          <w:szCs w:val="24"/>
        </w:rPr>
        <w:t xml:space="preserve">kontinuiranu pažnju </w:t>
      </w:r>
      <w:r w:rsidR="00F90F91">
        <w:rPr>
          <w:sz w:val="24"/>
          <w:szCs w:val="24"/>
        </w:rPr>
        <w:t xml:space="preserve">i obnavljanje. Tu se podrazumijeva održavanje i servisiranje fotokopirnog aparata, svih ostalih printera i tehničke opreme, kupnja tinte, </w:t>
      </w:r>
      <w:proofErr w:type="spellStart"/>
      <w:r w:rsidR="00F90F91">
        <w:rPr>
          <w:sz w:val="24"/>
          <w:szCs w:val="24"/>
        </w:rPr>
        <w:t>ribona</w:t>
      </w:r>
      <w:proofErr w:type="spellEnd"/>
      <w:r w:rsidR="00F90F91">
        <w:rPr>
          <w:sz w:val="24"/>
          <w:szCs w:val="24"/>
        </w:rPr>
        <w:t xml:space="preserve">, praznih iskaznica. Za održavanje tehničke opreme predviđen je iznos od </w:t>
      </w:r>
      <w:r w:rsidR="007B3598">
        <w:rPr>
          <w:b/>
          <w:sz w:val="24"/>
          <w:szCs w:val="24"/>
        </w:rPr>
        <w:t>2.0</w:t>
      </w:r>
      <w:r w:rsidR="00324634">
        <w:rPr>
          <w:b/>
          <w:sz w:val="24"/>
          <w:szCs w:val="24"/>
        </w:rPr>
        <w:t>00,00</w:t>
      </w:r>
      <w:r w:rsidR="00F90F91" w:rsidRPr="00F90F91">
        <w:rPr>
          <w:b/>
          <w:sz w:val="24"/>
          <w:szCs w:val="24"/>
        </w:rPr>
        <w:t xml:space="preserve"> €.</w:t>
      </w:r>
    </w:p>
    <w:p w:rsidR="00625DD0" w:rsidRDefault="00625DD0" w:rsidP="00625DD0">
      <w:pPr>
        <w:pStyle w:val="Naslov2"/>
      </w:pPr>
      <w:r>
        <w:tab/>
      </w:r>
      <w:bookmarkStart w:id="14" w:name="_Toc145501414"/>
      <w:r>
        <w:t>4.2. RAČUNALNE USLUGE</w:t>
      </w:r>
      <w:bookmarkEnd w:id="14"/>
    </w:p>
    <w:p w:rsidR="00625DD0" w:rsidRPr="00625DD0" w:rsidRDefault="00625DD0" w:rsidP="008A0665">
      <w:pPr>
        <w:spacing w:line="360" w:lineRule="auto"/>
        <w:jc w:val="both"/>
        <w:rPr>
          <w:sz w:val="24"/>
          <w:szCs w:val="24"/>
        </w:rPr>
      </w:pPr>
      <w:r>
        <w:tab/>
      </w:r>
      <w:r w:rsidRPr="00625DD0">
        <w:rPr>
          <w:sz w:val="24"/>
          <w:szCs w:val="24"/>
        </w:rPr>
        <w:t>Redovito održavanje mrežne stranice</w:t>
      </w:r>
      <w:r>
        <w:rPr>
          <w:sz w:val="24"/>
          <w:szCs w:val="24"/>
        </w:rPr>
        <w:t xml:space="preserve"> i aplikacije Gradske knjižnice Biograd na Moru sastavni je i odgovorni dio knjižnične djelatnosti.</w:t>
      </w:r>
      <w:r w:rsidR="008A0665">
        <w:rPr>
          <w:sz w:val="24"/>
          <w:szCs w:val="24"/>
        </w:rPr>
        <w:t xml:space="preserve"> Kroz 2026. godinu namjera je, u dogovoru s Matičnom knjižnicom Zadar, prijeći na novi knjižnični računalni program koji bi omogućavao veću funkcionalnost od postojećeg. Namjerava se s </w:t>
      </w:r>
      <w:proofErr w:type="spellStart"/>
      <w:r w:rsidR="008A0665">
        <w:rPr>
          <w:sz w:val="24"/>
          <w:szCs w:val="24"/>
        </w:rPr>
        <w:t>Crolista</w:t>
      </w:r>
      <w:proofErr w:type="spellEnd"/>
      <w:r w:rsidR="008A0665">
        <w:rPr>
          <w:sz w:val="24"/>
          <w:szCs w:val="24"/>
        </w:rPr>
        <w:t xml:space="preserve"> prijeći na </w:t>
      </w:r>
      <w:proofErr w:type="spellStart"/>
      <w:r w:rsidR="008A0665">
        <w:rPr>
          <w:sz w:val="24"/>
          <w:szCs w:val="24"/>
        </w:rPr>
        <w:t>Zaki</w:t>
      </w:r>
      <w:proofErr w:type="spellEnd"/>
      <w:r w:rsidR="008A0665">
        <w:rPr>
          <w:sz w:val="24"/>
          <w:szCs w:val="24"/>
        </w:rPr>
        <w:t xml:space="preserve">, te su stoga </w:t>
      </w:r>
      <w:r w:rsidR="008A0665">
        <w:rPr>
          <w:sz w:val="24"/>
          <w:szCs w:val="24"/>
        </w:rPr>
        <w:lastRenderedPageBreak/>
        <w:t>troškovi računalnih usluga povećani u odnosu na 2025. godinu.</w:t>
      </w:r>
      <w:r>
        <w:rPr>
          <w:sz w:val="24"/>
          <w:szCs w:val="24"/>
        </w:rPr>
        <w:t xml:space="preserve"> </w:t>
      </w:r>
      <w:r w:rsidR="0014167B">
        <w:rPr>
          <w:sz w:val="24"/>
          <w:szCs w:val="24"/>
        </w:rPr>
        <w:t xml:space="preserve">Za troškove računalnih usluga predviđa se iznos od </w:t>
      </w:r>
      <w:r w:rsidR="008A0665">
        <w:rPr>
          <w:b/>
          <w:sz w:val="24"/>
          <w:szCs w:val="24"/>
        </w:rPr>
        <w:t>7.5</w:t>
      </w:r>
      <w:r w:rsidR="0014167B" w:rsidRPr="0014167B">
        <w:rPr>
          <w:b/>
          <w:sz w:val="24"/>
          <w:szCs w:val="24"/>
        </w:rPr>
        <w:t>00,00 €.</w:t>
      </w:r>
      <w:r>
        <w:rPr>
          <w:sz w:val="24"/>
          <w:szCs w:val="24"/>
        </w:rPr>
        <w:t xml:space="preserve"> </w:t>
      </w:r>
    </w:p>
    <w:p w:rsidR="00922C16" w:rsidRPr="00324634" w:rsidRDefault="00922C16" w:rsidP="00324634">
      <w:pPr>
        <w:pStyle w:val="Naslov1"/>
      </w:pPr>
      <w:bookmarkStart w:id="15" w:name="_Toc31277528"/>
      <w:bookmarkStart w:id="16" w:name="_Toc145501415"/>
      <w:r w:rsidRPr="0011617D">
        <w:t>5. DJELATNICI</w:t>
      </w:r>
      <w:bookmarkEnd w:id="15"/>
      <w:bookmarkEnd w:id="16"/>
    </w:p>
    <w:p w:rsidR="0011617D" w:rsidRDefault="00D7502D" w:rsidP="00922C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U 2026</w:t>
      </w:r>
      <w:r w:rsidR="00F90F91">
        <w:rPr>
          <w:sz w:val="24"/>
          <w:szCs w:val="24"/>
        </w:rPr>
        <w:t xml:space="preserve">. </w:t>
      </w:r>
      <w:r w:rsidR="007B3598">
        <w:rPr>
          <w:sz w:val="24"/>
          <w:szCs w:val="24"/>
        </w:rPr>
        <w:t>ne planiraju se promjene u strukturi djelatnika, te se planira raditi prema postojećem standardu: ravnateljica, 2 diplomirane knjižničarke, jedna knjižničarka i dva pomoćna k</w:t>
      </w:r>
      <w:r>
        <w:rPr>
          <w:sz w:val="24"/>
          <w:szCs w:val="24"/>
        </w:rPr>
        <w:t>njižničara. Ukoliko bi kroz 2026</w:t>
      </w:r>
      <w:r w:rsidR="007B3598">
        <w:rPr>
          <w:sz w:val="24"/>
          <w:szCs w:val="24"/>
        </w:rPr>
        <w:t>. došlo do povećanja obujma posla ili novonastalih situacija, struktura stručnog knjižničnog osoblja podložna je promjenama.</w:t>
      </w:r>
    </w:p>
    <w:p w:rsidR="00F90F91" w:rsidRDefault="00F90F91" w:rsidP="00922C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Troškovi za djelatnike planiraju se u iznosu od </w:t>
      </w:r>
      <w:r w:rsidR="008A0665">
        <w:rPr>
          <w:b/>
          <w:sz w:val="24"/>
          <w:szCs w:val="24"/>
        </w:rPr>
        <w:t>148.2</w:t>
      </w:r>
      <w:r w:rsidR="00E138AF">
        <w:rPr>
          <w:b/>
          <w:sz w:val="24"/>
          <w:szCs w:val="24"/>
        </w:rPr>
        <w:t>00,00</w:t>
      </w:r>
      <w:r w:rsidRPr="00F90F91">
        <w:rPr>
          <w:b/>
          <w:sz w:val="24"/>
          <w:szCs w:val="24"/>
        </w:rPr>
        <w:t xml:space="preserve"> €.</w:t>
      </w:r>
    </w:p>
    <w:p w:rsidR="00922C16" w:rsidRPr="00F90F91" w:rsidRDefault="00212431" w:rsidP="00714F8F">
      <w:pPr>
        <w:pStyle w:val="Naslov2"/>
      </w:pPr>
      <w:r w:rsidRPr="00F90F91">
        <w:t xml:space="preserve"> </w:t>
      </w:r>
      <w:bookmarkStart w:id="17" w:name="_Toc31277529"/>
      <w:r w:rsidR="00F90F91">
        <w:tab/>
      </w:r>
      <w:bookmarkStart w:id="18" w:name="_Toc145501416"/>
      <w:r w:rsidR="00922C16" w:rsidRPr="00F90F91">
        <w:t>5.1. EDUKACIJA DJELATNIKA</w:t>
      </w:r>
      <w:bookmarkEnd w:id="17"/>
      <w:bookmarkEnd w:id="18"/>
    </w:p>
    <w:p w:rsidR="00AC11B1" w:rsidRDefault="00922C16" w:rsidP="00922C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Djelatnici Knjižnice redovito pohode razne seminare i predavanja kojima se stručno usavršavaju. Najčešći su odlasci u Gradsku knjižnicu Zadar k</w:t>
      </w:r>
      <w:r w:rsidR="00324634">
        <w:rPr>
          <w:sz w:val="24"/>
          <w:szCs w:val="24"/>
        </w:rPr>
        <w:t>oja organizira razna predavanja, ali se putuje i u ostale dijelove Hrvatske.</w:t>
      </w:r>
      <w:r w:rsidR="00F90F91">
        <w:rPr>
          <w:sz w:val="24"/>
          <w:szCs w:val="24"/>
        </w:rPr>
        <w:t xml:space="preserve"> </w:t>
      </w:r>
      <w:r w:rsidR="00324634">
        <w:rPr>
          <w:sz w:val="24"/>
          <w:szCs w:val="24"/>
        </w:rPr>
        <w:t xml:space="preserve">Djelatnici pohađaju seminare i ostale vrste edukacije </w:t>
      </w:r>
      <w:r w:rsidR="00AC11B1">
        <w:rPr>
          <w:sz w:val="24"/>
          <w:szCs w:val="24"/>
        </w:rPr>
        <w:t xml:space="preserve">kako bi slijedili proces </w:t>
      </w:r>
      <w:proofErr w:type="spellStart"/>
      <w:r w:rsidR="00AC11B1">
        <w:rPr>
          <w:sz w:val="24"/>
          <w:szCs w:val="24"/>
        </w:rPr>
        <w:t>cjeloživotnog</w:t>
      </w:r>
      <w:proofErr w:type="spellEnd"/>
      <w:r w:rsidR="00AC11B1">
        <w:rPr>
          <w:sz w:val="24"/>
          <w:szCs w:val="24"/>
        </w:rPr>
        <w:t xml:space="preserve"> obrazovanja. </w:t>
      </w:r>
    </w:p>
    <w:p w:rsidR="00922C16" w:rsidRDefault="007B3598" w:rsidP="00922C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22C16">
        <w:rPr>
          <w:sz w:val="24"/>
          <w:szCs w:val="24"/>
        </w:rPr>
        <w:t>Planirani troškovi z</w:t>
      </w:r>
      <w:r w:rsidR="00F90F91">
        <w:rPr>
          <w:sz w:val="24"/>
          <w:szCs w:val="24"/>
        </w:rPr>
        <w:t xml:space="preserve">a edukaciju djelatniku jesu </w:t>
      </w:r>
      <w:r>
        <w:rPr>
          <w:b/>
          <w:sz w:val="24"/>
          <w:szCs w:val="24"/>
        </w:rPr>
        <w:t>2</w:t>
      </w:r>
      <w:r w:rsidR="00AC11B1">
        <w:rPr>
          <w:b/>
          <w:sz w:val="24"/>
          <w:szCs w:val="24"/>
        </w:rPr>
        <w:t>.000,00</w:t>
      </w:r>
      <w:r w:rsidR="00F90F91" w:rsidRPr="00F90F91">
        <w:rPr>
          <w:b/>
          <w:sz w:val="24"/>
          <w:szCs w:val="24"/>
        </w:rPr>
        <w:t xml:space="preserve"> €</w:t>
      </w:r>
      <w:r w:rsidR="00F90F91">
        <w:rPr>
          <w:b/>
          <w:sz w:val="24"/>
          <w:szCs w:val="24"/>
        </w:rPr>
        <w:t xml:space="preserve"> </w:t>
      </w:r>
      <w:r w:rsidR="00F90F91">
        <w:rPr>
          <w:sz w:val="24"/>
          <w:szCs w:val="24"/>
        </w:rPr>
        <w:t xml:space="preserve">što uključuje putne troškove, kotizacije i smještaj. </w:t>
      </w:r>
    </w:p>
    <w:p w:rsidR="00922C16" w:rsidRPr="00F90F91" w:rsidRDefault="00F90F91" w:rsidP="00714F8F">
      <w:pPr>
        <w:pStyle w:val="Naslov1"/>
      </w:pPr>
      <w:bookmarkStart w:id="19" w:name="_Toc31277530"/>
      <w:r>
        <w:tab/>
      </w:r>
      <w:bookmarkStart w:id="20" w:name="_Toc145501417"/>
      <w:r w:rsidR="00922C16" w:rsidRPr="00F90F91">
        <w:t>6</w:t>
      </w:r>
      <w:r w:rsidR="00922C16" w:rsidRPr="00714F8F">
        <w:t>. JAVNA KULTURNO - OBRAZOVNA DJELATNOST</w:t>
      </w:r>
      <w:bookmarkEnd w:id="19"/>
      <w:bookmarkEnd w:id="20"/>
    </w:p>
    <w:p w:rsidR="00922C16" w:rsidRDefault="00922C16" w:rsidP="00922C16">
      <w:pPr>
        <w:spacing w:line="360" w:lineRule="auto"/>
        <w:jc w:val="both"/>
        <w:rPr>
          <w:sz w:val="24"/>
          <w:szCs w:val="24"/>
        </w:rPr>
      </w:pPr>
      <w:r>
        <w:tab/>
      </w:r>
      <w:r w:rsidRPr="00044CA7">
        <w:rPr>
          <w:sz w:val="24"/>
          <w:szCs w:val="24"/>
        </w:rPr>
        <w:t>Svojim programima, manifestacijama i događanjima Knjižnica pokušava doprijeti do što većeg bro</w:t>
      </w:r>
      <w:r w:rsidR="00044CA7">
        <w:rPr>
          <w:sz w:val="24"/>
          <w:szCs w:val="24"/>
        </w:rPr>
        <w:t>ja ljudi i stanovnika kako bi bila prepoznata</w:t>
      </w:r>
      <w:r w:rsidRPr="00044CA7">
        <w:rPr>
          <w:sz w:val="24"/>
          <w:szCs w:val="24"/>
        </w:rPr>
        <w:t xml:space="preserve"> unutar zajednice. </w:t>
      </w:r>
      <w:r w:rsidR="00044CA7">
        <w:rPr>
          <w:sz w:val="24"/>
          <w:szCs w:val="24"/>
        </w:rPr>
        <w:t>Zadatak je</w:t>
      </w:r>
      <w:r w:rsidRPr="00044CA7">
        <w:rPr>
          <w:sz w:val="24"/>
          <w:szCs w:val="24"/>
        </w:rPr>
        <w:t xml:space="preserve"> postizati sve veću vidljivost organiziranjem događanja za sve korisničke skupine, posvećujući pažnju svim dobnim skupinama i temama. Obilježavanje važnijih datuma kroz godinu, sudjelovanje u manifestacijama poput </w:t>
      </w:r>
      <w:r w:rsidRPr="00044CA7">
        <w:rPr>
          <w:i/>
          <w:sz w:val="24"/>
          <w:szCs w:val="24"/>
        </w:rPr>
        <w:t>Mjeseca hrvatske knjige</w:t>
      </w:r>
      <w:r w:rsidRPr="00044CA7">
        <w:rPr>
          <w:sz w:val="24"/>
          <w:szCs w:val="24"/>
        </w:rPr>
        <w:t xml:space="preserve"> i </w:t>
      </w:r>
      <w:r w:rsidRPr="00044CA7">
        <w:rPr>
          <w:i/>
          <w:sz w:val="24"/>
          <w:szCs w:val="24"/>
        </w:rPr>
        <w:t>Zadar čita</w:t>
      </w:r>
      <w:r w:rsidRPr="00044CA7">
        <w:rPr>
          <w:sz w:val="24"/>
          <w:szCs w:val="24"/>
        </w:rPr>
        <w:t xml:space="preserve"> osnovne su zadaće Knj</w:t>
      </w:r>
      <w:r w:rsidR="00044CA7">
        <w:rPr>
          <w:sz w:val="24"/>
          <w:szCs w:val="24"/>
        </w:rPr>
        <w:t>ižnice i svake se godine osmišljavaju</w:t>
      </w:r>
      <w:r w:rsidRPr="00044CA7">
        <w:rPr>
          <w:sz w:val="24"/>
          <w:szCs w:val="24"/>
        </w:rPr>
        <w:t xml:space="preserve"> </w:t>
      </w:r>
      <w:r w:rsidR="00044CA7">
        <w:rPr>
          <w:sz w:val="24"/>
          <w:szCs w:val="24"/>
        </w:rPr>
        <w:t>nova i zanimljiva gostovanja i događanja</w:t>
      </w:r>
      <w:r w:rsidRPr="00044CA7">
        <w:rPr>
          <w:sz w:val="24"/>
          <w:szCs w:val="24"/>
        </w:rPr>
        <w:t xml:space="preserve">. </w:t>
      </w:r>
    </w:p>
    <w:p w:rsidR="007A5B77" w:rsidRPr="007A5B77" w:rsidRDefault="007A5B77" w:rsidP="00922C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Manifestacije </w:t>
      </w:r>
      <w:r w:rsidRPr="007A5B77">
        <w:rPr>
          <w:i/>
          <w:sz w:val="24"/>
          <w:szCs w:val="24"/>
        </w:rPr>
        <w:t>Mjesec ženskog zdravlja</w:t>
      </w:r>
      <w:r>
        <w:rPr>
          <w:sz w:val="24"/>
          <w:szCs w:val="24"/>
        </w:rPr>
        <w:t xml:space="preserve"> i </w:t>
      </w:r>
      <w:r>
        <w:rPr>
          <w:i/>
          <w:sz w:val="24"/>
          <w:szCs w:val="24"/>
        </w:rPr>
        <w:t>Tjedan planina</w:t>
      </w:r>
      <w:r>
        <w:rPr>
          <w:sz w:val="24"/>
          <w:szCs w:val="24"/>
        </w:rPr>
        <w:t xml:space="preserve"> pokrenuti su kao izvorna zamisao i ideja Gradske knjižnice Biograd na Moru, te se već provode godina kontinuirano. Obje manifestacije svojom su kvalitetom, raznim gostima i predavanjima prepoznati od </w:t>
      </w:r>
      <w:r>
        <w:rPr>
          <w:sz w:val="24"/>
          <w:szCs w:val="24"/>
        </w:rPr>
        <w:lastRenderedPageBreak/>
        <w:t xml:space="preserve">posjetitelja, te se iz godine u godinu bilježi sve veća posjećenost ovih događanja. </w:t>
      </w:r>
      <w:r w:rsidRPr="007A5B77">
        <w:rPr>
          <w:i/>
          <w:sz w:val="24"/>
          <w:szCs w:val="24"/>
        </w:rPr>
        <w:t xml:space="preserve">Mjesec ženskog zdravlja </w:t>
      </w:r>
      <w:r>
        <w:rPr>
          <w:sz w:val="24"/>
          <w:szCs w:val="24"/>
        </w:rPr>
        <w:t>dobio je i financijsku potporu Ministarstva kulture i medija.</w:t>
      </w:r>
    </w:p>
    <w:p w:rsidR="007B3598" w:rsidRDefault="00922C16" w:rsidP="00922C16">
      <w:pPr>
        <w:spacing w:line="360" w:lineRule="auto"/>
        <w:ind w:firstLine="708"/>
        <w:jc w:val="both"/>
        <w:rPr>
          <w:sz w:val="24"/>
          <w:szCs w:val="24"/>
        </w:rPr>
      </w:pPr>
      <w:r w:rsidRPr="00BC1C8F">
        <w:rPr>
          <w:sz w:val="24"/>
          <w:szCs w:val="24"/>
        </w:rPr>
        <w:t>Kroz kalendarsku godinu planiraju se: izložbe, knjiže</w:t>
      </w:r>
      <w:r>
        <w:rPr>
          <w:sz w:val="24"/>
          <w:szCs w:val="24"/>
        </w:rPr>
        <w:t xml:space="preserve">vni susreti, promocije knjiga, </w:t>
      </w:r>
      <w:r w:rsidRPr="00BC1C8F">
        <w:rPr>
          <w:sz w:val="24"/>
          <w:szCs w:val="24"/>
        </w:rPr>
        <w:t>predavanja</w:t>
      </w:r>
      <w:r>
        <w:rPr>
          <w:sz w:val="24"/>
          <w:szCs w:val="24"/>
        </w:rPr>
        <w:t xml:space="preserve"> na različite i aktualne teme. </w:t>
      </w:r>
      <w:r w:rsidRPr="00BC1C8F">
        <w:rPr>
          <w:sz w:val="24"/>
          <w:szCs w:val="24"/>
        </w:rPr>
        <w:t>Svakako se planiraju i radionice za djecu</w:t>
      </w:r>
      <w:r>
        <w:rPr>
          <w:sz w:val="24"/>
          <w:szCs w:val="24"/>
        </w:rPr>
        <w:t xml:space="preserve"> (kreativne radionice, </w:t>
      </w:r>
      <w:proofErr w:type="spellStart"/>
      <w:r>
        <w:rPr>
          <w:sz w:val="24"/>
          <w:szCs w:val="24"/>
        </w:rPr>
        <w:t>Micro</w:t>
      </w:r>
      <w:proofErr w:type="spellEnd"/>
      <w:r>
        <w:rPr>
          <w:sz w:val="24"/>
          <w:szCs w:val="24"/>
        </w:rPr>
        <w:t>:bit radionice,)</w:t>
      </w:r>
      <w:r w:rsidRPr="00BC1C8F">
        <w:rPr>
          <w:sz w:val="24"/>
          <w:szCs w:val="24"/>
        </w:rPr>
        <w:t xml:space="preserve"> i </w:t>
      </w:r>
      <w:r>
        <w:rPr>
          <w:sz w:val="24"/>
          <w:szCs w:val="24"/>
        </w:rPr>
        <w:t xml:space="preserve">za </w:t>
      </w:r>
      <w:r w:rsidRPr="00BC1C8F">
        <w:rPr>
          <w:sz w:val="24"/>
          <w:szCs w:val="24"/>
        </w:rPr>
        <w:t>odrasle za koje je u prot</w:t>
      </w:r>
      <w:r>
        <w:rPr>
          <w:sz w:val="24"/>
          <w:szCs w:val="24"/>
        </w:rPr>
        <w:t>eklim godinama iskazan veliki interes (tečaj osnova informatike za umirovljenike</w:t>
      </w:r>
      <w:r w:rsidR="007B3598">
        <w:rPr>
          <w:sz w:val="24"/>
          <w:szCs w:val="24"/>
        </w:rPr>
        <w:t>, likovne radionice</w:t>
      </w:r>
      <w:r>
        <w:rPr>
          <w:sz w:val="24"/>
          <w:szCs w:val="24"/>
        </w:rPr>
        <w:t>).</w:t>
      </w:r>
      <w:r w:rsidR="00044CA7">
        <w:rPr>
          <w:sz w:val="24"/>
          <w:szCs w:val="24"/>
        </w:rPr>
        <w:t xml:space="preserve"> </w:t>
      </w:r>
    </w:p>
    <w:p w:rsidR="0011617D" w:rsidRDefault="00922C16" w:rsidP="00922C1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cilju poticanja čitanja Knjižnica sudjeluje u kampanji </w:t>
      </w:r>
      <w:r>
        <w:rPr>
          <w:i/>
          <w:sz w:val="24"/>
          <w:szCs w:val="24"/>
        </w:rPr>
        <w:t>Čitaj mi</w:t>
      </w:r>
      <w:r>
        <w:rPr>
          <w:sz w:val="24"/>
          <w:szCs w:val="24"/>
        </w:rPr>
        <w:t xml:space="preserve"> nudeći besplatan upis djeci do</w:t>
      </w:r>
      <w:r w:rsidR="00044CA7">
        <w:rPr>
          <w:sz w:val="24"/>
          <w:szCs w:val="24"/>
        </w:rPr>
        <w:t xml:space="preserve"> prve godine starosti. Besplatan </w:t>
      </w:r>
      <w:r>
        <w:rPr>
          <w:sz w:val="24"/>
          <w:szCs w:val="24"/>
        </w:rPr>
        <w:t xml:space="preserve"> </w:t>
      </w:r>
      <w:r w:rsidR="00044CA7">
        <w:rPr>
          <w:sz w:val="24"/>
          <w:szCs w:val="24"/>
        </w:rPr>
        <w:t>upis imat će svi učenici</w:t>
      </w:r>
      <w:r>
        <w:rPr>
          <w:sz w:val="24"/>
          <w:szCs w:val="24"/>
        </w:rPr>
        <w:t xml:space="preserve"> prvih razreda osnovnih škola s područja Općine Biograd na Moru (kroz </w:t>
      </w:r>
      <w:r w:rsidRPr="006B2B98">
        <w:rPr>
          <w:i/>
          <w:sz w:val="24"/>
          <w:szCs w:val="24"/>
        </w:rPr>
        <w:t>Mjesec hrvatske knjige</w:t>
      </w:r>
      <w:r w:rsidR="00044CA7">
        <w:rPr>
          <w:sz w:val="24"/>
          <w:szCs w:val="24"/>
        </w:rPr>
        <w:t>)</w:t>
      </w:r>
      <w:r w:rsidR="0011617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Kroz kreativne radionice za djecu također </w:t>
      </w:r>
      <w:r w:rsidR="0031605C">
        <w:rPr>
          <w:sz w:val="24"/>
          <w:szCs w:val="24"/>
        </w:rPr>
        <w:t>se potiče</w:t>
      </w:r>
      <w:r w:rsidR="0011617D">
        <w:rPr>
          <w:sz w:val="24"/>
          <w:szCs w:val="24"/>
        </w:rPr>
        <w:t xml:space="preserve"> čitalačka</w:t>
      </w:r>
      <w:r>
        <w:rPr>
          <w:sz w:val="24"/>
          <w:szCs w:val="24"/>
        </w:rPr>
        <w:t xml:space="preserve"> pismenost jer se iste zasnivaju na slikovnicama koje progovaraju o aktualnim i zanimljivim temama. </w:t>
      </w:r>
    </w:p>
    <w:p w:rsidR="007B3598" w:rsidRDefault="007B3598" w:rsidP="00922C1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Kvalitetnim radom na polju kulturnih manifestacija i događanja Gradska knjižnica Biograd na Moru stvorila je prepoznatljivost kako kod publike, tako i kod stručne javnos</w:t>
      </w:r>
      <w:r w:rsidR="00D7502D">
        <w:rPr>
          <w:sz w:val="24"/>
          <w:szCs w:val="24"/>
        </w:rPr>
        <w:t>ti. Stoga je u cilju i kroz 2026</w:t>
      </w:r>
      <w:r>
        <w:rPr>
          <w:sz w:val="24"/>
          <w:szCs w:val="24"/>
        </w:rPr>
        <w:t xml:space="preserve">. nastaviti graditi kvalitetne manifestacije, za što je potrebno izdvojiti znatnu količinu planiranih financijskih sredstava. Cilj javno-kulturne djelatnosti svakako je kvaliteta ispred </w:t>
      </w:r>
      <w:proofErr w:type="spellStart"/>
      <w:r>
        <w:rPr>
          <w:sz w:val="24"/>
          <w:szCs w:val="24"/>
        </w:rPr>
        <w:t>kvanitete</w:t>
      </w:r>
      <w:proofErr w:type="spellEnd"/>
      <w:r>
        <w:rPr>
          <w:sz w:val="24"/>
          <w:szCs w:val="24"/>
        </w:rPr>
        <w:t>.</w:t>
      </w:r>
    </w:p>
    <w:p w:rsidR="00922C16" w:rsidRDefault="0031605C" w:rsidP="00922C1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Planiran</w:t>
      </w:r>
      <w:r w:rsidR="00922C16">
        <w:rPr>
          <w:sz w:val="24"/>
          <w:szCs w:val="24"/>
        </w:rPr>
        <w:t xml:space="preserve"> </w:t>
      </w:r>
      <w:r>
        <w:rPr>
          <w:sz w:val="24"/>
          <w:szCs w:val="24"/>
        </w:rPr>
        <w:t>je nastavak dobre suradnje</w:t>
      </w:r>
      <w:r w:rsidR="00922C16">
        <w:rPr>
          <w:sz w:val="24"/>
          <w:szCs w:val="24"/>
        </w:rPr>
        <w:t xml:space="preserve"> s ustanovama u okruženju i  </w:t>
      </w:r>
      <w:r>
        <w:rPr>
          <w:sz w:val="24"/>
          <w:szCs w:val="24"/>
        </w:rPr>
        <w:t>organizacija književnih susreta</w:t>
      </w:r>
      <w:r w:rsidR="00922C16">
        <w:rPr>
          <w:sz w:val="24"/>
          <w:szCs w:val="24"/>
        </w:rPr>
        <w:t xml:space="preserve"> u Dječjem vrtići i Osnovno</w:t>
      </w:r>
      <w:r>
        <w:rPr>
          <w:sz w:val="24"/>
          <w:szCs w:val="24"/>
        </w:rPr>
        <w:t>j školi, kao i nastavak suradnje</w:t>
      </w:r>
      <w:r w:rsidR="00922C16">
        <w:rPr>
          <w:sz w:val="24"/>
          <w:szCs w:val="24"/>
        </w:rPr>
        <w:t xml:space="preserve"> s Turističkom zajednicom </w:t>
      </w:r>
      <w:r>
        <w:rPr>
          <w:sz w:val="24"/>
          <w:szCs w:val="24"/>
        </w:rPr>
        <w:t>i Gradskim društvom Crvenog križa</w:t>
      </w:r>
      <w:r w:rsidR="00922C16">
        <w:rPr>
          <w:sz w:val="24"/>
          <w:szCs w:val="24"/>
        </w:rPr>
        <w:t>.</w:t>
      </w:r>
      <w:r w:rsidR="0011617D">
        <w:rPr>
          <w:sz w:val="24"/>
          <w:szCs w:val="24"/>
        </w:rPr>
        <w:t xml:space="preserve"> Planira se </w:t>
      </w:r>
      <w:r w:rsidR="008A0665">
        <w:rPr>
          <w:sz w:val="24"/>
          <w:szCs w:val="24"/>
        </w:rPr>
        <w:t>nastaviti</w:t>
      </w:r>
      <w:r w:rsidR="0011617D">
        <w:rPr>
          <w:sz w:val="24"/>
          <w:szCs w:val="24"/>
        </w:rPr>
        <w:t xml:space="preserve"> suradnja sa Srednjom školom Biograd na Moru i ustanovama van Grada Biograd na Moru (</w:t>
      </w:r>
      <w:proofErr w:type="spellStart"/>
      <w:r w:rsidR="0011617D">
        <w:rPr>
          <w:sz w:val="24"/>
          <w:szCs w:val="24"/>
        </w:rPr>
        <w:t>npr</w:t>
      </w:r>
      <w:proofErr w:type="spellEnd"/>
      <w:r w:rsidR="0011617D">
        <w:rPr>
          <w:sz w:val="24"/>
          <w:szCs w:val="24"/>
        </w:rPr>
        <w:t>. Gradska knjižnica Zadar</w:t>
      </w:r>
      <w:r w:rsidR="008A0665">
        <w:rPr>
          <w:sz w:val="24"/>
          <w:szCs w:val="24"/>
        </w:rPr>
        <w:t xml:space="preserve">, Gradska knjižnica Juraj </w:t>
      </w:r>
      <w:proofErr w:type="spellStart"/>
      <w:r w:rsidR="008A0665">
        <w:rPr>
          <w:sz w:val="24"/>
          <w:szCs w:val="24"/>
        </w:rPr>
        <w:t>Šižgorić</w:t>
      </w:r>
      <w:proofErr w:type="spellEnd"/>
      <w:r w:rsidR="008A0665">
        <w:rPr>
          <w:sz w:val="24"/>
          <w:szCs w:val="24"/>
        </w:rPr>
        <w:t xml:space="preserve"> Šibenik</w:t>
      </w:r>
      <w:r w:rsidR="0011617D">
        <w:rPr>
          <w:sz w:val="24"/>
          <w:szCs w:val="24"/>
        </w:rPr>
        <w:t>) i provođenje zajedničkih aktivnosti.</w:t>
      </w:r>
      <w:r w:rsidR="00922C16">
        <w:rPr>
          <w:sz w:val="24"/>
          <w:szCs w:val="24"/>
        </w:rPr>
        <w:t xml:space="preserve"> Dovođenjem književnika i gostiju u Dječji vrtić i Osnovnu školu Knjižnica zauzima važno mjesto u odgojno – obrazovnim ustanovama. </w:t>
      </w:r>
    </w:p>
    <w:p w:rsidR="0014167B" w:rsidRDefault="00922C16" w:rsidP="00714F8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kulturno – obrazovnu djelatnost Knjižnice predviđeni su troškovi u iznosu od </w:t>
      </w:r>
      <w:r w:rsidR="00D7502D">
        <w:rPr>
          <w:b/>
          <w:sz w:val="24"/>
          <w:szCs w:val="24"/>
        </w:rPr>
        <w:t>13</w:t>
      </w:r>
      <w:r w:rsidR="007B3598">
        <w:rPr>
          <w:b/>
          <w:sz w:val="24"/>
          <w:szCs w:val="24"/>
        </w:rPr>
        <w:t>.15</w:t>
      </w:r>
      <w:r w:rsidR="00AC11B1">
        <w:rPr>
          <w:b/>
          <w:sz w:val="24"/>
          <w:szCs w:val="24"/>
        </w:rPr>
        <w:t>0,00</w:t>
      </w:r>
      <w:r w:rsidR="00F90F91" w:rsidRPr="00F90F91">
        <w:rPr>
          <w:b/>
          <w:sz w:val="24"/>
          <w:szCs w:val="24"/>
        </w:rPr>
        <w:t xml:space="preserve"> €</w:t>
      </w:r>
      <w:r w:rsidR="00F90F91">
        <w:rPr>
          <w:b/>
          <w:sz w:val="24"/>
          <w:szCs w:val="24"/>
        </w:rPr>
        <w:t xml:space="preserve"> </w:t>
      </w:r>
      <w:r w:rsidR="00F90F91">
        <w:rPr>
          <w:sz w:val="24"/>
          <w:szCs w:val="24"/>
        </w:rPr>
        <w:t>što uključuje autorske ugovore, putne troškove i smještaj za goste,</w:t>
      </w:r>
      <w:r w:rsidR="008A0665">
        <w:rPr>
          <w:sz w:val="24"/>
          <w:szCs w:val="24"/>
        </w:rPr>
        <w:t xml:space="preserve"> obroke,</w:t>
      </w:r>
      <w:r w:rsidR="00F90F91">
        <w:rPr>
          <w:sz w:val="24"/>
          <w:szCs w:val="24"/>
        </w:rPr>
        <w:t xml:space="preserve"> grafičku pripremu promotivnog materijala i ostale troškove (cvijeće, </w:t>
      </w:r>
      <w:proofErr w:type="spellStart"/>
      <w:r w:rsidR="00F90F91">
        <w:rPr>
          <w:sz w:val="24"/>
          <w:szCs w:val="24"/>
        </w:rPr>
        <w:t>catering</w:t>
      </w:r>
      <w:proofErr w:type="spellEnd"/>
      <w:r w:rsidR="00F90F91">
        <w:rPr>
          <w:sz w:val="24"/>
          <w:szCs w:val="24"/>
        </w:rPr>
        <w:t>).</w:t>
      </w:r>
      <w:bookmarkStart w:id="21" w:name="_Toc31277531"/>
    </w:p>
    <w:p w:rsidR="0014167B" w:rsidRDefault="0014167B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2C16" w:rsidRPr="00714F8F" w:rsidRDefault="00922C16" w:rsidP="00714F8F">
      <w:pPr>
        <w:pStyle w:val="Naslov1"/>
      </w:pPr>
      <w:bookmarkStart w:id="22" w:name="_Toc145501418"/>
      <w:r w:rsidRPr="00714F8F">
        <w:lastRenderedPageBreak/>
        <w:t>7. ZAKLJUČAK</w:t>
      </w:r>
      <w:bookmarkEnd w:id="21"/>
      <w:bookmarkEnd w:id="22"/>
    </w:p>
    <w:p w:rsidR="008F23EB" w:rsidRDefault="00922C16" w:rsidP="008F23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Knjižnice su proizvod društva i društvo ih podržava za potrebe pojedinaca, stoga su glavne zadaće ustanove promicati kulturne vrijednosti u zajednici: očuvanje kulturne baštine, razvoj čitalačke pismenosti, razvoj informacijskog društva, edukacija svih dobnih skupina, promicanje književnog stvaralaštva, poticanje kritičkog razmišljanja i osiguravanje prostora za formalno i neformalno okupljanje stanovnika. Programe navedene u Planu rada Knjižnica će realizirati u skladu s financijskim, kadrovskim i prostornim mogućnostima uz maksimalno zalaganje djelatnika i racionalno trošenje namjenskih sredstava.</w:t>
      </w:r>
      <w:r w:rsidR="008F23EB" w:rsidRPr="008F23EB">
        <w:rPr>
          <w:sz w:val="24"/>
          <w:szCs w:val="24"/>
        </w:rPr>
        <w:t xml:space="preserve"> </w:t>
      </w:r>
    </w:p>
    <w:p w:rsidR="008F23EB" w:rsidRDefault="008F23EB" w:rsidP="008F23EB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F23EB" w:rsidRDefault="008F23EB" w:rsidP="008F23EB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Ravnateljica</w:t>
      </w:r>
    </w:p>
    <w:p w:rsidR="008F23EB" w:rsidRDefault="008F23EB" w:rsidP="008F23EB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Tihana Jurišić, </w:t>
      </w:r>
      <w:proofErr w:type="spellStart"/>
      <w:r>
        <w:rPr>
          <w:sz w:val="24"/>
          <w:szCs w:val="24"/>
        </w:rPr>
        <w:t>mag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bibl</w:t>
      </w:r>
      <w:proofErr w:type="spellEnd"/>
      <w:r>
        <w:rPr>
          <w:sz w:val="24"/>
          <w:szCs w:val="24"/>
        </w:rPr>
        <w:t>.</w:t>
      </w:r>
    </w:p>
    <w:p w:rsidR="00DC4B67" w:rsidRDefault="00DC4B67" w:rsidP="005A6BE2">
      <w:pPr>
        <w:spacing w:after="0" w:line="240" w:lineRule="atLeast"/>
        <w:rPr>
          <w:sz w:val="24"/>
          <w:szCs w:val="24"/>
        </w:rPr>
      </w:pPr>
    </w:p>
    <w:p w:rsidR="00DC4B67" w:rsidRDefault="00DC4B67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4B67" w:rsidRDefault="00DC4B67" w:rsidP="00DC4B67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3"/>
        <w:gridCol w:w="1831"/>
        <w:gridCol w:w="113"/>
        <w:gridCol w:w="4956"/>
        <w:gridCol w:w="1944"/>
        <w:gridCol w:w="113"/>
      </w:tblGrid>
      <w:tr w:rsidR="00DC4B67" w:rsidTr="00DC4B67">
        <w:trPr>
          <w:trHeight w:val="256"/>
        </w:trPr>
        <w:tc>
          <w:tcPr>
            <w:tcW w:w="701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7013"/>
            </w:tblGrid>
            <w:tr w:rsidR="00DC4B67" w:rsidTr="00AE0162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GRADSKA KNJIŽNICA BIOGRAD NA MORU</w:t>
                  </w:r>
                </w:p>
              </w:tc>
            </w:tr>
          </w:tbl>
          <w:p w:rsidR="00DC4B67" w:rsidRDefault="00DC4B67" w:rsidP="00AE0162">
            <w:pPr>
              <w:spacing w:after="0" w:line="240" w:lineRule="auto"/>
            </w:pPr>
          </w:p>
        </w:tc>
        <w:tc>
          <w:tcPr>
            <w:tcW w:w="19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944"/>
            </w:tblGrid>
            <w:tr w:rsidR="00DC4B67" w:rsidTr="00AE0162">
              <w:trPr>
                <w:trHeight w:val="178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Datum: 28.11.2025</w:t>
                  </w:r>
                </w:p>
              </w:tc>
            </w:tr>
          </w:tbl>
          <w:p w:rsidR="00DC4B67" w:rsidRDefault="00DC4B67" w:rsidP="00AE0162">
            <w:pPr>
              <w:spacing w:after="0" w:line="240" w:lineRule="auto"/>
            </w:pPr>
          </w:p>
        </w:tc>
        <w:tc>
          <w:tcPr>
            <w:tcW w:w="113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</w:tr>
      <w:tr w:rsidR="00DC4B67" w:rsidTr="00DC4B67">
        <w:trPr>
          <w:trHeight w:val="26"/>
        </w:trPr>
        <w:tc>
          <w:tcPr>
            <w:tcW w:w="7013" w:type="dxa"/>
            <w:gridSpan w:val="4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  <w:tc>
          <w:tcPr>
            <w:tcW w:w="1944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</w:tr>
      <w:tr w:rsidR="00DC4B67" w:rsidTr="00DC4B67">
        <w:trPr>
          <w:trHeight w:val="256"/>
        </w:trPr>
        <w:tc>
          <w:tcPr>
            <w:tcW w:w="701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7013"/>
            </w:tblGrid>
            <w:tr w:rsidR="00DC4B67" w:rsidTr="00AE0162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4B67" w:rsidRDefault="00DC4B67" w:rsidP="00AE01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C4B67" w:rsidRDefault="00DC4B67" w:rsidP="00AE0162">
            <w:pPr>
              <w:spacing w:after="0" w:line="240" w:lineRule="auto"/>
            </w:pPr>
          </w:p>
        </w:tc>
        <w:tc>
          <w:tcPr>
            <w:tcW w:w="19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944"/>
            </w:tblGrid>
            <w:tr w:rsidR="00DC4B67" w:rsidTr="00AE0162">
              <w:trPr>
                <w:trHeight w:val="178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Vrijeme: 12:01</w:t>
                  </w:r>
                </w:p>
              </w:tc>
            </w:tr>
          </w:tbl>
          <w:p w:rsidR="00DC4B67" w:rsidRDefault="00DC4B67" w:rsidP="00AE0162">
            <w:pPr>
              <w:spacing w:after="0" w:line="240" w:lineRule="auto"/>
            </w:pPr>
          </w:p>
        </w:tc>
        <w:tc>
          <w:tcPr>
            <w:tcW w:w="113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</w:tr>
      <w:tr w:rsidR="00DC4B67" w:rsidTr="00DC4B67">
        <w:trPr>
          <w:trHeight w:val="26"/>
        </w:trPr>
        <w:tc>
          <w:tcPr>
            <w:tcW w:w="7013" w:type="dxa"/>
            <w:gridSpan w:val="4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  <w:tc>
          <w:tcPr>
            <w:tcW w:w="1944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</w:tr>
      <w:tr w:rsidR="00DC4B67" w:rsidTr="00DC4B67">
        <w:trPr>
          <w:trHeight w:val="256"/>
        </w:trPr>
        <w:tc>
          <w:tcPr>
            <w:tcW w:w="895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957"/>
            </w:tblGrid>
            <w:tr w:rsidR="00DC4B67" w:rsidTr="00AE0162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Šetalište kneza Branimira 52</w:t>
                  </w:r>
                </w:p>
              </w:tc>
            </w:tr>
          </w:tbl>
          <w:p w:rsidR="00DC4B67" w:rsidRDefault="00DC4B67" w:rsidP="00AE0162">
            <w:pPr>
              <w:spacing w:after="0" w:line="240" w:lineRule="auto"/>
            </w:pPr>
          </w:p>
        </w:tc>
        <w:tc>
          <w:tcPr>
            <w:tcW w:w="113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</w:tr>
      <w:tr w:rsidR="00DC4B67" w:rsidTr="00DC4B67">
        <w:trPr>
          <w:trHeight w:val="26"/>
        </w:trPr>
        <w:tc>
          <w:tcPr>
            <w:tcW w:w="7013" w:type="dxa"/>
            <w:gridSpan w:val="4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  <w:tc>
          <w:tcPr>
            <w:tcW w:w="1944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</w:tr>
      <w:tr w:rsidR="00DC4B67" w:rsidTr="00DC4B67">
        <w:trPr>
          <w:trHeight w:val="256"/>
        </w:trPr>
        <w:tc>
          <w:tcPr>
            <w:tcW w:w="895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957"/>
            </w:tblGrid>
            <w:tr w:rsidR="00DC4B67" w:rsidTr="00AE0162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23210 BIOGRAD NA MORU</w:t>
                  </w:r>
                </w:p>
              </w:tc>
            </w:tr>
          </w:tbl>
          <w:p w:rsidR="00DC4B67" w:rsidRDefault="00DC4B67" w:rsidP="00AE0162">
            <w:pPr>
              <w:spacing w:after="0" w:line="240" w:lineRule="auto"/>
            </w:pPr>
          </w:p>
        </w:tc>
        <w:tc>
          <w:tcPr>
            <w:tcW w:w="113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</w:tr>
      <w:tr w:rsidR="00DC4B67" w:rsidTr="00DC4B67">
        <w:trPr>
          <w:trHeight w:val="26"/>
        </w:trPr>
        <w:tc>
          <w:tcPr>
            <w:tcW w:w="7013" w:type="dxa"/>
            <w:gridSpan w:val="4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  <w:tc>
          <w:tcPr>
            <w:tcW w:w="1944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</w:tr>
      <w:tr w:rsidR="00DC4B67" w:rsidTr="00DC4B67">
        <w:trPr>
          <w:trHeight w:val="256"/>
        </w:trPr>
        <w:tc>
          <w:tcPr>
            <w:tcW w:w="895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957"/>
            </w:tblGrid>
            <w:tr w:rsidR="00DC4B67" w:rsidTr="00AE0162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OIB: 76911726015</w:t>
                  </w:r>
                </w:p>
              </w:tc>
            </w:tr>
          </w:tbl>
          <w:p w:rsidR="00DC4B67" w:rsidRDefault="00DC4B67" w:rsidP="00AE0162">
            <w:pPr>
              <w:spacing w:after="0" w:line="240" w:lineRule="auto"/>
            </w:pPr>
          </w:p>
        </w:tc>
        <w:tc>
          <w:tcPr>
            <w:tcW w:w="113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</w:tr>
      <w:tr w:rsidR="00DC4B67" w:rsidTr="00DC4B67">
        <w:trPr>
          <w:trHeight w:val="310"/>
        </w:trPr>
        <w:tc>
          <w:tcPr>
            <w:tcW w:w="7013" w:type="dxa"/>
            <w:gridSpan w:val="4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  <w:tc>
          <w:tcPr>
            <w:tcW w:w="1944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</w:tr>
      <w:tr w:rsidR="00DC4B67" w:rsidTr="00DC4B67">
        <w:trPr>
          <w:trHeight w:val="396"/>
        </w:trPr>
        <w:tc>
          <w:tcPr>
            <w:tcW w:w="895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957"/>
            </w:tblGrid>
            <w:tr w:rsidR="00DC4B67" w:rsidTr="00AE0162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B67" w:rsidRDefault="00DC4B67" w:rsidP="00AE01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Financijski plan 2026.g. prijedlog</w:t>
                  </w:r>
                </w:p>
              </w:tc>
            </w:tr>
          </w:tbl>
          <w:p w:rsidR="00DC4B67" w:rsidRDefault="00DC4B67" w:rsidP="00AE0162">
            <w:pPr>
              <w:spacing w:after="0" w:line="240" w:lineRule="auto"/>
            </w:pPr>
          </w:p>
        </w:tc>
        <w:tc>
          <w:tcPr>
            <w:tcW w:w="113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</w:tr>
      <w:tr w:rsidR="00DC4B67" w:rsidTr="00DC4B67">
        <w:trPr>
          <w:gridAfter w:val="3"/>
          <w:wAfter w:w="7013" w:type="dxa"/>
          <w:trHeight w:val="28"/>
        </w:trPr>
        <w:tc>
          <w:tcPr>
            <w:tcW w:w="1944" w:type="dxa"/>
            <w:gridSpan w:val="2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</w:tr>
      <w:tr w:rsidR="00DC4B67" w:rsidTr="00DC4B67">
        <w:trPr>
          <w:gridAfter w:val="5"/>
          <w:wAfter w:w="8957" w:type="dxa"/>
          <w:trHeight w:val="283"/>
        </w:trPr>
        <w:tc>
          <w:tcPr>
            <w:tcW w:w="113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</w:tr>
      <w:tr w:rsidR="00DC4B67" w:rsidTr="00DC4B67">
        <w:trPr>
          <w:trHeight w:val="283"/>
        </w:trPr>
        <w:tc>
          <w:tcPr>
            <w:tcW w:w="7013" w:type="dxa"/>
            <w:gridSpan w:val="4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  <w:tc>
          <w:tcPr>
            <w:tcW w:w="1944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</w:tr>
      <w:tr w:rsidR="00DC4B67" w:rsidTr="00DC4B67">
        <w:tc>
          <w:tcPr>
            <w:tcW w:w="895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957"/>
            </w:tblGrid>
            <w:tr w:rsidR="00DC4B67" w:rsidTr="00AE0162">
              <w:trPr>
                <w:trHeight w:val="3259"/>
              </w:trPr>
              <w:tc>
                <w:tcPr>
                  <w:tcW w:w="1048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57"/>
                  </w:tblGrid>
                  <w:tr w:rsidR="00DC4B67" w:rsidTr="00AE0162">
                    <w:trPr>
                      <w:trHeight w:val="3259"/>
                    </w:trPr>
                    <w:tc>
                      <w:tcPr>
                        <w:tcW w:w="10488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494"/>
                          <w:gridCol w:w="5544"/>
                          <w:gridCol w:w="1919"/>
                        </w:tblGrid>
                        <w:tr w:rsidR="00DC4B67" w:rsidTr="00AE0162">
                          <w:trPr>
                            <w:trHeight w:val="219"/>
                          </w:trPr>
                          <w:tc>
                            <w:tcPr>
                              <w:tcW w:w="17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PLANIRANO</w:t>
                              </w:r>
                            </w:p>
                          </w:tc>
                        </w:tr>
                        <w:tr w:rsidR="00DC4B67" w:rsidTr="00AE0162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296.861,00</w:t>
                              </w:r>
                            </w:p>
                          </w:tc>
                        </w:tr>
                        <w:tr w:rsidR="00DC4B67" w:rsidTr="00AE0162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proračunskim korisnicima iz proračuna koji im nije nadležan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0,00</w:t>
                              </w:r>
                            </w:p>
                          </w:tc>
                        </w:tr>
                        <w:tr w:rsidR="00DC4B67" w:rsidTr="00AE0162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Kapitalne pomoći proračunskim korisnicima iz proračuna koji im nije nadležan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13.600,00</w:t>
                              </w:r>
                            </w:p>
                          </w:tc>
                        </w:tr>
                        <w:tr w:rsidR="00DC4B67" w:rsidTr="00AE0162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6381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temeljem prijenosa EU sredstava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0,00</w:t>
                              </w:r>
                            </w:p>
                          </w:tc>
                        </w:tr>
                        <w:tr w:rsidR="00DC4B67" w:rsidTr="00AE0162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6413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Kamate na oročena sredstva i depozite po viđenju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1,00</w:t>
                              </w:r>
                            </w:p>
                          </w:tc>
                        </w:tr>
                        <w:tr w:rsidR="00DC4B67" w:rsidTr="00AE0162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nespomenuti prihodi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13.500,00</w:t>
                              </w:r>
                            </w:p>
                          </w:tc>
                        </w:tr>
                        <w:tr w:rsidR="00DC4B67" w:rsidTr="00AE0162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6631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donacije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0,00</w:t>
                              </w:r>
                            </w:p>
                          </w:tc>
                        </w:tr>
                        <w:tr w:rsidR="00DC4B67" w:rsidTr="00AE0162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6632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Kapitalne donacije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0,00</w:t>
                              </w:r>
                            </w:p>
                          </w:tc>
                        </w:tr>
                        <w:tr w:rsidR="00DC4B67" w:rsidTr="00AE0162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6711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iz nadležnog proračuna za financiranje rashoda poslovanja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232.960,00</w:t>
                              </w:r>
                            </w:p>
                          </w:tc>
                        </w:tr>
                        <w:tr w:rsidR="00DC4B67" w:rsidTr="00AE0162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6712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iz nadležnog proračuna za financiranje rashoda za nabavu nefinancijske imovine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36.800,00</w:t>
                              </w:r>
                            </w:p>
                          </w:tc>
                        </w:tr>
                        <w:tr w:rsidR="00DC4B67" w:rsidTr="00AE0162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6831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prihodi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0,00</w:t>
                              </w:r>
                            </w:p>
                          </w:tc>
                        </w:tr>
                        <w:tr w:rsidR="00DC4B67" w:rsidTr="00AE0162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9221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Višak prihoda i primitaka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DC4B67" w:rsidRDefault="00DC4B67" w:rsidP="00AE01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0,00</w:t>
                              </w:r>
                            </w:p>
                          </w:tc>
                        </w:tr>
                      </w:tbl>
                      <w:p w:rsidR="00DC4B67" w:rsidRDefault="00DC4B67" w:rsidP="00AE016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DC4B67" w:rsidRDefault="00DC4B67" w:rsidP="00AE0162">
                  <w:pPr>
                    <w:spacing w:after="0" w:line="240" w:lineRule="auto"/>
                  </w:pPr>
                </w:p>
              </w:tc>
            </w:tr>
          </w:tbl>
          <w:p w:rsidR="00DC4B67" w:rsidRDefault="00DC4B67" w:rsidP="00AE0162">
            <w:pPr>
              <w:spacing w:after="0" w:line="240" w:lineRule="auto"/>
            </w:pPr>
          </w:p>
        </w:tc>
        <w:tc>
          <w:tcPr>
            <w:tcW w:w="113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</w:tr>
    </w:tbl>
    <w:p w:rsidR="00DC4B67" w:rsidRDefault="00DC4B67" w:rsidP="00DC4B6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57"/>
        <w:gridCol w:w="113"/>
      </w:tblGrid>
      <w:tr w:rsidR="00DC4B67" w:rsidTr="00AE0162">
        <w:trPr>
          <w:trHeight w:val="425"/>
        </w:trPr>
        <w:tc>
          <w:tcPr>
            <w:tcW w:w="10488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</w:tr>
      <w:tr w:rsidR="00DC4B67" w:rsidTr="00AE0162"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92"/>
              <w:gridCol w:w="5550"/>
              <w:gridCol w:w="1915"/>
            </w:tblGrid>
            <w:tr w:rsidR="00DC4B67" w:rsidTr="00AE0162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666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212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 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296.861,00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148.200,00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24.410,00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Sitni inventar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autogume</w:t>
                  </w:r>
                  <w:proofErr w:type="spellEnd"/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Komunikacijska oprema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DC4B67" w:rsidTr="00AE0162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DC4B67" w:rsidRDefault="00DC4B67" w:rsidP="00AE01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45.100,00</w:t>
                  </w:r>
                </w:p>
              </w:tc>
            </w:tr>
          </w:tbl>
          <w:p w:rsidR="00DC4B67" w:rsidRDefault="00DC4B67" w:rsidP="00AE0162">
            <w:pPr>
              <w:spacing w:after="0" w:line="240" w:lineRule="auto"/>
            </w:pPr>
          </w:p>
        </w:tc>
        <w:tc>
          <w:tcPr>
            <w:tcW w:w="141" w:type="dxa"/>
          </w:tcPr>
          <w:p w:rsidR="00DC4B67" w:rsidRDefault="00DC4B67" w:rsidP="00AE0162">
            <w:pPr>
              <w:pStyle w:val="EmptyCellLayoutStyle"/>
              <w:spacing w:after="0" w:line="240" w:lineRule="auto"/>
            </w:pPr>
          </w:p>
        </w:tc>
      </w:tr>
    </w:tbl>
    <w:p w:rsidR="00714F8F" w:rsidRPr="005A6BE2" w:rsidRDefault="00714F8F" w:rsidP="005A6BE2">
      <w:pPr>
        <w:spacing w:after="0" w:line="240" w:lineRule="atLeast"/>
        <w:rPr>
          <w:sz w:val="24"/>
          <w:szCs w:val="24"/>
        </w:rPr>
        <w:sectPr w:rsidR="00714F8F" w:rsidRPr="005A6BE2" w:rsidSect="008F23EB">
          <w:footerReference w:type="default" r:id="rId8"/>
          <w:pgSz w:w="11906" w:h="16838"/>
          <w:pgMar w:top="993" w:right="1418" w:bottom="1418" w:left="1418" w:header="709" w:footer="709" w:gutter="0"/>
          <w:cols w:space="708"/>
          <w:docGrid w:linePitch="360"/>
        </w:sectPr>
      </w:pPr>
    </w:p>
    <w:p w:rsidR="00546C21" w:rsidRDefault="00546C21" w:rsidP="00DC4B67"/>
    <w:sectPr w:rsidR="00546C21" w:rsidSect="00B670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401" w:rsidRDefault="009B3401" w:rsidP="00922C16">
      <w:pPr>
        <w:spacing w:after="0" w:line="240" w:lineRule="auto"/>
      </w:pPr>
      <w:r>
        <w:separator/>
      </w:r>
    </w:p>
  </w:endnote>
  <w:endnote w:type="continuationSeparator" w:id="0">
    <w:p w:rsidR="009B3401" w:rsidRDefault="009B3401" w:rsidP="0092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344253"/>
      <w:docPartObj>
        <w:docPartGallery w:val="Page Numbers (Bottom of Page)"/>
        <w:docPartUnique/>
      </w:docPartObj>
    </w:sdtPr>
    <w:sdtContent>
      <w:p w:rsidR="008A0665" w:rsidRDefault="008A0665">
        <w:pPr>
          <w:pStyle w:val="Podnoje"/>
          <w:jc w:val="right"/>
        </w:pPr>
        <w:fldSimple w:instr=" PAGE   \* MERGEFORMAT ">
          <w:r w:rsidR="00DC4B67">
            <w:rPr>
              <w:noProof/>
            </w:rPr>
            <w:t>2</w:t>
          </w:r>
        </w:fldSimple>
      </w:p>
    </w:sdtContent>
  </w:sdt>
  <w:p w:rsidR="008A0665" w:rsidRDefault="008A066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401" w:rsidRDefault="009B3401" w:rsidP="00922C16">
      <w:pPr>
        <w:spacing w:after="0" w:line="240" w:lineRule="auto"/>
      </w:pPr>
      <w:r>
        <w:separator/>
      </w:r>
    </w:p>
  </w:footnote>
  <w:footnote w:type="continuationSeparator" w:id="0">
    <w:p w:rsidR="009B3401" w:rsidRDefault="009B3401" w:rsidP="00922C16">
      <w:pPr>
        <w:spacing w:after="0" w:line="240" w:lineRule="auto"/>
      </w:pPr>
      <w:r>
        <w:continuationSeparator/>
      </w:r>
    </w:p>
  </w:footnote>
  <w:footnote w:id="1">
    <w:p w:rsidR="008A0665" w:rsidRPr="00C83929" w:rsidRDefault="008A0665" w:rsidP="00922C1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proofErr w:type="spellStart"/>
      <w:r>
        <w:t>usp</w:t>
      </w:r>
      <w:proofErr w:type="spellEnd"/>
      <w:r>
        <w:t xml:space="preserve">.: Kovačević, Jasna: </w:t>
      </w:r>
      <w:r>
        <w:rPr>
          <w:i/>
        </w:rPr>
        <w:t xml:space="preserve">Narodna knjižnica. </w:t>
      </w:r>
      <w:r>
        <w:t>Zagreb, Naklada Ljevak, 2018. str. 8.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6E99"/>
    <w:multiLevelType w:val="hybridMultilevel"/>
    <w:tmpl w:val="B0786FC0"/>
    <w:lvl w:ilvl="0" w:tplc="CF1CF5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C16"/>
    <w:rsid w:val="00022A36"/>
    <w:rsid w:val="0002319E"/>
    <w:rsid w:val="000231D2"/>
    <w:rsid w:val="00042CB5"/>
    <w:rsid w:val="00044CA7"/>
    <w:rsid w:val="00054D7B"/>
    <w:rsid w:val="0007116F"/>
    <w:rsid w:val="00083F84"/>
    <w:rsid w:val="000A3395"/>
    <w:rsid w:val="0011617D"/>
    <w:rsid w:val="00124F0D"/>
    <w:rsid w:val="00134E31"/>
    <w:rsid w:val="0014167B"/>
    <w:rsid w:val="00184C44"/>
    <w:rsid w:val="00200778"/>
    <w:rsid w:val="00212431"/>
    <w:rsid w:val="00232BDD"/>
    <w:rsid w:val="00237C68"/>
    <w:rsid w:val="00264CBD"/>
    <w:rsid w:val="002731F9"/>
    <w:rsid w:val="002A0872"/>
    <w:rsid w:val="002A6EA7"/>
    <w:rsid w:val="0030295D"/>
    <w:rsid w:val="0030652C"/>
    <w:rsid w:val="0031605C"/>
    <w:rsid w:val="00324634"/>
    <w:rsid w:val="0032566A"/>
    <w:rsid w:val="003B2714"/>
    <w:rsid w:val="003D4B7D"/>
    <w:rsid w:val="003F7D97"/>
    <w:rsid w:val="004B68BB"/>
    <w:rsid w:val="005354DE"/>
    <w:rsid w:val="00535A27"/>
    <w:rsid w:val="00546C21"/>
    <w:rsid w:val="0056220D"/>
    <w:rsid w:val="005737C9"/>
    <w:rsid w:val="00584D66"/>
    <w:rsid w:val="005A6BE2"/>
    <w:rsid w:val="0061427D"/>
    <w:rsid w:val="00625DD0"/>
    <w:rsid w:val="006C062E"/>
    <w:rsid w:val="006D60E6"/>
    <w:rsid w:val="00714F8F"/>
    <w:rsid w:val="0075102B"/>
    <w:rsid w:val="007A5B77"/>
    <w:rsid w:val="007A6AB6"/>
    <w:rsid w:val="007B3598"/>
    <w:rsid w:val="00821E05"/>
    <w:rsid w:val="0084359B"/>
    <w:rsid w:val="00855737"/>
    <w:rsid w:val="008A0665"/>
    <w:rsid w:val="008F23EB"/>
    <w:rsid w:val="00922C16"/>
    <w:rsid w:val="0094784F"/>
    <w:rsid w:val="009730EB"/>
    <w:rsid w:val="009A4C07"/>
    <w:rsid w:val="009B3401"/>
    <w:rsid w:val="009C5B4E"/>
    <w:rsid w:val="00A41D2C"/>
    <w:rsid w:val="00AC11B1"/>
    <w:rsid w:val="00AE7362"/>
    <w:rsid w:val="00AF3E6E"/>
    <w:rsid w:val="00B2274E"/>
    <w:rsid w:val="00B30E30"/>
    <w:rsid w:val="00B44774"/>
    <w:rsid w:val="00B60028"/>
    <w:rsid w:val="00B670E9"/>
    <w:rsid w:val="00B72FEB"/>
    <w:rsid w:val="00B97D19"/>
    <w:rsid w:val="00C43832"/>
    <w:rsid w:val="00C76111"/>
    <w:rsid w:val="00CB65FE"/>
    <w:rsid w:val="00CE34EA"/>
    <w:rsid w:val="00D62EBE"/>
    <w:rsid w:val="00D7333A"/>
    <w:rsid w:val="00D7502D"/>
    <w:rsid w:val="00D9557B"/>
    <w:rsid w:val="00DC4B67"/>
    <w:rsid w:val="00DC79D0"/>
    <w:rsid w:val="00E138AF"/>
    <w:rsid w:val="00E1606E"/>
    <w:rsid w:val="00E21205"/>
    <w:rsid w:val="00E60A91"/>
    <w:rsid w:val="00E60C4F"/>
    <w:rsid w:val="00E70213"/>
    <w:rsid w:val="00E97B4E"/>
    <w:rsid w:val="00EB4B82"/>
    <w:rsid w:val="00EF7EFE"/>
    <w:rsid w:val="00F1061C"/>
    <w:rsid w:val="00F20B48"/>
    <w:rsid w:val="00F90F91"/>
    <w:rsid w:val="00FF1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36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16"/>
    <w:pPr>
      <w:spacing w:line="276" w:lineRule="auto"/>
      <w:ind w:left="0"/>
      <w:jc w:val="left"/>
    </w:p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11617D"/>
    <w:pPr>
      <w:keepNext/>
      <w:keepLines/>
      <w:spacing w:before="720" w:after="240"/>
      <w:ind w:left="708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714F8F"/>
    <w:pPr>
      <w:keepNext/>
      <w:keepLines/>
      <w:spacing w:before="320" w:after="240"/>
      <w:ind w:left="708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617D"/>
    <w:rPr>
      <w:rFonts w:eastAsiaTheme="majorEastAsia" w:cstheme="majorBidi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714F8F"/>
    <w:rPr>
      <w:rFonts w:eastAsiaTheme="majorEastAsia" w:cstheme="majorBidi"/>
      <w:b/>
      <w:bCs/>
      <w:sz w:val="24"/>
      <w:szCs w:val="26"/>
    </w:rPr>
  </w:style>
  <w:style w:type="paragraph" w:styleId="Odlomakpopisa">
    <w:name w:val="List Paragraph"/>
    <w:basedOn w:val="Normal"/>
    <w:uiPriority w:val="34"/>
    <w:qFormat/>
    <w:rsid w:val="00922C16"/>
    <w:pPr>
      <w:ind w:left="720"/>
      <w:contextualSpacing/>
    </w:pPr>
  </w:style>
  <w:style w:type="table" w:styleId="Reetkatablice">
    <w:name w:val="Table Grid"/>
    <w:basedOn w:val="Obinatablica"/>
    <w:uiPriority w:val="59"/>
    <w:rsid w:val="00922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922C1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22C1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22C16"/>
    <w:rPr>
      <w:vertAlign w:val="superscript"/>
    </w:rPr>
  </w:style>
  <w:style w:type="paragraph" w:styleId="TOCNaslov">
    <w:name w:val="TOC Heading"/>
    <w:basedOn w:val="Naslov1"/>
    <w:next w:val="Normal"/>
    <w:uiPriority w:val="39"/>
    <w:unhideWhenUsed/>
    <w:qFormat/>
    <w:rsid w:val="0031605C"/>
    <w:pPr>
      <w:spacing w:before="480" w:after="0"/>
      <w:ind w:left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Sadraj1">
    <w:name w:val="toc 1"/>
    <w:basedOn w:val="Normal"/>
    <w:next w:val="Normal"/>
    <w:autoRedefine/>
    <w:uiPriority w:val="39"/>
    <w:unhideWhenUsed/>
    <w:rsid w:val="0031605C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31605C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3160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605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316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1605C"/>
  </w:style>
  <w:style w:type="paragraph" w:styleId="Podnoje">
    <w:name w:val="footer"/>
    <w:basedOn w:val="Normal"/>
    <w:link w:val="PodnojeChar"/>
    <w:uiPriority w:val="99"/>
    <w:unhideWhenUsed/>
    <w:rsid w:val="00316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605C"/>
  </w:style>
  <w:style w:type="paragraph" w:customStyle="1" w:styleId="p1">
    <w:name w:val="p1"/>
    <w:basedOn w:val="Normal"/>
    <w:rsid w:val="002A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2A0872"/>
  </w:style>
  <w:style w:type="paragraph" w:styleId="StandardWeb">
    <w:name w:val="Normal (Web)"/>
    <w:basedOn w:val="Normal"/>
    <w:uiPriority w:val="99"/>
    <w:unhideWhenUsed/>
    <w:rsid w:val="002A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7333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7333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D7333A"/>
    <w:rPr>
      <w:vertAlign w:val="superscript"/>
    </w:rPr>
  </w:style>
  <w:style w:type="paragraph" w:customStyle="1" w:styleId="EmptyCellLayoutStyle">
    <w:name w:val="EmptyCellLayoutStyle"/>
    <w:rsid w:val="00DC4B67"/>
    <w:pPr>
      <w:spacing w:line="276" w:lineRule="auto"/>
      <w:ind w:left="0"/>
      <w:jc w:val="left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1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3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1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9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F1E61-87CC-4F22-87B2-C99D6BB8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14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Ravnateljica</cp:lastModifiedBy>
  <cp:revision>4</cp:revision>
  <cp:lastPrinted>2025-11-28T11:11:00Z</cp:lastPrinted>
  <dcterms:created xsi:type="dcterms:W3CDTF">2025-11-28T09:22:00Z</dcterms:created>
  <dcterms:modified xsi:type="dcterms:W3CDTF">2025-11-28T11:12:00Z</dcterms:modified>
</cp:coreProperties>
</file>